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 VO-ID211930 (Brandenburg) — Zulässige Handlungen</w:t>
      </w:r>
    </w:p>
    <w:p>
      <w:r>
        <w:rPr>
          <w:color w:val="555555"/>
          <w:sz w:val="18"/>
        </w:rPr>
        <w:t xml:space="preserve">Verordnung über das Naturschutzgebiet „Werbiger Heide“</w:t>
      </w:r>
    </w:p>
    <w:p>
      <w:r>
        <w:rPr>
          <w:color w:val="555555"/>
          <w:sz w:val="18"/>
        </w:rPr>
        <w:t xml:space="preserve">Landesrecht Brandenburg</w:t>
      </w:r>
    </w:p>
    <w:p>
      <w:r>
        <w:rPr>
          <w:color w:val="555555"/>
          <w:sz w:val="18"/>
        </w:rPr>
        <w:t xml:space="preserve">Stand: 02.08.2026 (konsolidierte Textfassung, kein amtliches Inkrafttretensdatum)</w:t>
      </w:r>
    </w:p>
    <w:p>
      <w:r>
        <w:t xml:space="preserve">(1) Ausgenommen von den Verboten des § 4 bleiben folgende Handlungen:</w:t>
      </w:r>
    </w:p>
    <w:p>
      <w:r>
        <w:t xml:space="preserve">die im Sinne des § 11 Abs. 3 des Brandenburgischen Naturschutzgesetzes ordnungsgemäße forstwirtschaftliche Bodennutzung mit der Maßgabe, dass die Calluna-Heide dadurch nicht beeinträchtigt wird;</w:t>
      </w:r>
    </w:p>
    <w:p>
      <w:r>
        <w:t xml:space="preserve">für den Bereich der Jagd die rechtmäßige Ausübung der Jagd mit der Maßgabe, dass</w:t>
      </w:r>
    </w:p>
    <w:p>
      <w:r>
        <w:t xml:space="preserve">die Jagd in der Zeit vom 15. März bis 30. Juni eines Jahres ausschließlich vom Ansitz aus erfolgt und Fuchs und Schwarzwild intensiv bejagt werden,</w:t>
      </w:r>
    </w:p>
    <w:p>
      <w:r>
        <w:t xml:space="preserve">§ 4 Abs. 2 Nr. 21 gilt,</w:t>
      </w:r>
    </w:p>
    <w:p>
      <w:r>
        <w:t xml:space="preserve">die Ausbildung und Prüfung von Jagdhunden verboten ist;</w:t>
      </w:r>
    </w:p>
    <w:p>
      <w:r>
        <w:t xml:space="preserve">Schutz-, Pflege- und Entwicklungsmaßnahmen, die von der zuständigen Naturschutzbehörde angeordnet worden sind;</w:t>
      </w:r>
    </w:p>
    <w:p>
      <w:r>
        <w:t xml:space="preserve">Maßnahmen zur Untersuchung von Altlast-Verdachtsflächen und Maßnahmen der Altlastensanierung im Einvernehmen mit der unteren Naturschutzbehörde;</w:t>
      </w:r>
    </w:p>
    <w:p>
      <w:r>
        <w:t xml:space="preserve">die sonstigen bei Inkrafttreten dieser Verordnung auf Grund behördlicher Einzelfallentscheidungen rechtmäßig ausgeübten Nutzungen und Befugnisse in der bisherigen Art und im bisherigen Umfang;</w:t>
      </w:r>
    </w:p>
    <w:p>
      <w:r>
        <w:t xml:space="preserve">behördliche sowie behördlich angeordnete oder zugelassene Beschilderungen, soweit sie auf den Schutzzweck des Gebietes hinweisen oder als hoheitliche Kennzeichnungen, Orts- oder Verkehrshinweise, Wegemarkierungen oder Warntafeln dienen;</w:t>
      </w:r>
    </w:p>
    <w:p>
      <w:r>
        <w:t xml:space="preserve">Maßnahmen, die der Abwehr einer unmittelbar drohenden Gefahr für die öffentliche Sicherheit und Ordnung dienen. Die untere Naturschutzbehörde ist über die getroffenen Maßnahmen unverzüglich zu unterrichten. Sie kann nachträglich ergänzende Anordnungen zur Vereinbarkeit mit dem Schutzzweck treffen;</w:t>
      </w:r>
    </w:p>
    <w:p>
      <w:r>
        <w:t xml:space="preserve">der Einsatz von Herbiziden zur Bekämpfung des Landreitgrases im Einvernehmen mit der unteren Naturschutzbehörde.</w:t>
      </w:r>
    </w:p>
    <w:p>
      <w:r>
        <w:t xml:space="preserve">(2) Die in § 4 für das Betreten und Befahren des Naturschutzgebietes enthaltenen Einschränkungen gelten nicht für die Dienstkräfte der Naturschutzbehörden, die zuständigen Naturschutzhelfer und sonstige von den Naturschutzbehörden beauftragte Personen sowie für Dienstkräfte und beauftragte Personen anderer zuständiger Behörden und Einrichtungen, soweit diese in Wahrnehmung ihrer gesetzlichen Aufgaben handeln. Der Genehmigungsvorbehalt nach § 19 Abs. 3 Satz 2 des Landeswaldgesetzes bleibt unberührt.</w:t>
      </w:r>
    </w:p>
    <w:p>
      <w:r>
        <w:rPr>
          <w:color w:val="555555"/>
          <w:sz w:val="17"/>
        </w:rPr>
        <w:t xml:space="preserve">Zitiervorschlag: § 5 VO-ID211930 (Brandenburg)</w:t>
      </w:r>
    </w:p>
    <w:p>
      <w:r>
        <w:rPr>
          <w:color w:val="555555"/>
          <w:sz w:val="17"/>
        </w:rPr>
        <w:t xml:space="preserve">Quelle: bravors, abgerufen 02.08.2026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https://recht.nulegal.eu/gesetze/VO-ID211930/5</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