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VO-ID211923 (Brandenburg) — Befreiungen</w:t>
      </w:r>
    </w:p>
    <w:p>
      <w:r>
        <w:rPr>
          <w:color w:val="555555"/>
          <w:sz w:val="18"/>
        </w:rPr>
        <w:t xml:space="preserve">Verordnung über das Naturschutzgebiet „Streuobstwiesen Zossen“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https://recht.nulegal.eu/gesetze/VO-ID211923/7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