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VO-ID211923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„Streuobstwiesen Zossen“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festgelegt:</w:t>
      </w:r>
    </w:p>
    <w:p>
      <w:r>
        <w:t xml:space="preserve">die noch intakten Obstbäume sollen durch geeignete Maßnahmen (Pflegeschnitt, Freistellen) erhalten werden;</w:t>
      </w:r>
    </w:p>
    <w:p>
      <w:r>
        <w:t xml:space="preserve">für ausgefallene Obstbäume sollen Nachpflanzungen mit Hochstämmen, möglichst alter Sorten, erfolgen, dabei soll ein Teil der überalterten Bäume als Alt- und Totholz wegen seiner Bedeutung für holzbewohnende Insekten und Höhlenbrüter im Gebiet belassen werden;</w:t>
      </w:r>
    </w:p>
    <w:p>
      <w:r>
        <w:t xml:space="preserve">der Aufwuchs von Birken und Eichen soll stellenweise beseitigt werden;</w:t>
      </w:r>
    </w:p>
    <w:p>
      <w:r>
        <w:t xml:space="preserve">das bei Pflegearbeiten anfallende Schnittgut soll als Lebensraum für Kleinsäuger, Vögel, Insekten und Pilze zum Teil im Gebiet belassen werden;</w:t>
      </w:r>
    </w:p>
    <w:p>
      <w:r>
        <w:t xml:space="preserve">die vorhandenen Frischwiesenbestände sollen zeitlich und räumlich gestaffelt gemäht werden, so daß ein Mosaik unterschiedlicher Pflegezustände entsteht.</w:t>
      </w:r>
    </w:p>
    <w:p>
      <w:r>
        <w:rPr>
          <w:color w:val="555555"/>
          <w:sz w:val="17"/>
        </w:rPr>
        <w:t xml:space="preserve">Zitiervorschlag: § 6 VO-ID211923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https://recht.nulegal.eu/gesetze/VO-ID211923/6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