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VO-ID211923 (Brandenburg) — Zulässige Handlungen</w:t>
      </w:r>
    </w:p>
    <w:p>
      <w:r>
        <w:rPr>
          <w:color w:val="555555"/>
          <w:sz w:val="18"/>
        </w:rPr>
        <w:t xml:space="preserve">Verordnung über das Naturschutzgebiet „Streuobstwiesen Zossen“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daß</w:t>
      </w:r>
    </w:p>
    <w:p>
      <w:r>
        <w:t xml:space="preserve">die Wiesenflächen erst ab 1. Juli eines Jahres gemäht werden,</w:t>
      </w:r>
    </w:p>
    <w:p>
      <w:r>
        <w:t xml:space="preserve">die Verbote nach § 4 Abs. 2 Nr. 18 und 19 gelten;</w:t>
      </w:r>
    </w:p>
    <w:p>
      <w:r>
        <w:t xml:space="preserve">die im Sinne des § 11 Abs. 3 des Brandenburgischen Naturschutzgesetzes ordnungsgemäße forstwirtschaftliche Bodennutzung in der bisherigen Art und im bisherigen Umfang auf den bisher dafür genutzten Flächen;</w:t>
      </w:r>
    </w:p>
    <w:p>
      <w:r>
        <w:t xml:space="preserve">die rechtmäßige Ausübung der Jagd;</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w:t>
      </w:r>
    </w:p>
    <w:p>
      <w:r>
        <w:t xml:space="preserve">Schutz-, Pflege- und Entwicklungsmaßnahmen, die von der zuständigen Naturschutzbehörde angeordnet worden sind;</w:t>
      </w:r>
    </w:p>
    <w:p>
      <w:r>
        <w:t xml:space="preserve">behördlich angeordnete oder zugelassene Beschilderungen, soweit sie auf den Schutzzweck des Gebietes hinweisen, als hoheitliche Kennzeichnungen, Orts- oder Verkehrshinweise, Wegemarkierungen oder Warntafeln dienen;</w:t>
      </w:r>
    </w:p>
    <w:p>
      <w:r>
        <w:t xml:space="preserve">Maßnahmen, die der Abwendung einer unmittelbar drohenden Gefahr für die öffentliche Sicherheit und Ordnung dienen. Die untere Naturschutzbehörde ist über die getroffenen Maßnahmen unverzüglich zu unterrichten. Sie kann hinsichtlich der Art und Weise der Durchführung der Maßnahme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https://recht.nulegal.eu/gesetze/VO-ID211923/5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VO-ID211923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