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VO-ID211923 (Brandenburg) — Verbote</w:t>
      </w:r>
    </w:p>
    <w:p>
      <w:r>
        <w:rPr>
          <w:color w:val="555555"/>
          <w:sz w:val="18"/>
        </w:rPr>
        <w:t xml:space="preserve">Verordnung über das Naturschutzgebiet „Streuobstwiesen Zossen“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Modelle zu betreiben oder feste Einrichtungen dafür bereit zu halten;</w:t>
      </w:r>
    </w:p>
    <w:p>
      <w:r>
        <w:t xml:space="preserve">außerhalb der für den öffentlichen Verkehr gewidmeten Straßen und Wege, der nach öffentlichem Straßenrecht oder auf Grund von § 20 Abs. 3 des Landeswaldgesetzes gekennzeichneten Reitwege zu reiten;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anzusäen;</w:t>
      </w:r>
    </w:p>
    <w:p>
      <w:r>
        <w:t xml:space="preserve">den Wasserhaushalt des Gebietes zu beeinträchtigen;</w:t>
      </w:r>
    </w:p>
    <w:p>
      <w:r>
        <w:t xml:space="preserve">Schmutzwasser, Gülle, mineralischen Dünger, Gärfutter oder Klärschlamm auszubringen, zu lagern oder abzulagern; §§ 4 und 5 der Klärschlammverordnung bleiben davon unberührt;</w:t>
      </w:r>
    </w:p>
    <w:p>
      <w:r>
        <w:t xml:space="preserve">Pflanzenschutzmittel jeder Art, insbesondere Schädlingsbekämpfungsmittel oder Biozidprodukte anzuwenden;</w:t>
      </w:r>
    </w:p>
    <w:p>
      <w:r>
        <w:t xml:space="preserve">Abfälle oder sonstige Gegenstände zu lagern, abzulagern oder sich ihrer in sonstiger Weise zu entledigen.</w:t>
      </w:r>
    </w:p>
    <w:p>
      <w:r>
        <w:rPr>
          <w:color w:val="555555"/>
          <w:sz w:val="17"/>
        </w:rPr>
        <w:t xml:space="preserve">Zitiervorschlag: § 4 VO-ID211923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https://recht.nulegal.eu/gesetze/VO-ID211923/4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