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VO-ID211923 (Brandenburg) — Schutzgegenstand</w:t>
      </w:r>
    </w:p>
    <w:p>
      <w:r>
        <w:rPr>
          <w:color w:val="555555"/>
          <w:sz w:val="18"/>
        </w:rPr>
        <w:t xml:space="preserve">Verordnung über das Naturschutzgebiet „Streuobstwiesen Zossen“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25 Hektar. Es umfaßt in der Gemarkung Zossen, Flur 5, die Flurstücke 290 anteilig, 291/1 bis 291/7, 292, 303 bis 305, 306 bis 307 anteilig, 380 bis 386, 390 anteilig und 391.</w:t>
      </w:r>
    </w:p>
    <w:p>
      <w:r>
        <w:t xml:space="preserve">Eine Kartenskizze ist der Verordnung zur Orientierung als Anlage beigefügt.</w:t>
      </w:r>
    </w:p>
    <w:p>
      <w:r>
        <w:t xml:space="preserve">(2) Die Grenze des Naturschutzgebietes ist in einer Flurkarte im Maßstab 1:3.000 (herausgegeben 1955) mit ununterbrochener Linie eingetragen; als Grenze gilt der innere Rand dieser Linie.</w:t>
      </w:r>
    </w:p>
    <w:p>
      <w:r>
        <w:t xml:space="preserve">(3) Die Verordnung mit Karte kann beim Ministerium für Umwelt, Naturschutz und Raumordnung des Landes Brandenburg, oberste Naturschutzbehörde, in Potsdam sowie beim Landkreis Teltow-Fläming,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https://recht.nulegal.eu/gesetze/VO-ID211923/2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