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VO-ID211918 (Brandenburg)</w:t>
      </w:r>
    </w:p>
    <w:p>
      <w:r>
        <w:rPr>
          <w:color w:val="555555"/>
          <w:sz w:val="18"/>
        </w:rPr>
        <w:t xml:space="preserve">Anordnung Nr. 1 über Naturschutzgebiete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Begrenzung eines jeden der in der Anlage genannten Gebiete ist auf Meßtischblattausschnitten (1 : 25 000) niedergelegt. Diese Begrenzungskarten liegen bei den zuständigen Räten der Bezirke und Kreise (Bezirks- bzw. Kreis-Naturschutzverwaltungen) aus und können dort eingesehen werden. Die Rechtsträger der in den Naturschutzgebieten gelegenen Nutzflächen erhalten jeweils ein Exemplar der Kartenausschnitte.</w:t>
      </w:r>
    </w:p>
    <w:p>
      <w:r>
        <w:rPr>
          <w:color w:val="555555"/>
          <w:sz w:val="17"/>
        </w:rPr>
        <w:t xml:space="preserve">Zitiervorschlag: § 2 VO-ID211918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https://recht.nulegal.eu/gesetze/VO-ID211918/2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