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VO-ID211916 (Brandenburg) — Zulässige Handlungen</w:t>
      </w:r>
    </w:p>
    <w:p>
      <w:r>
        <w:rPr>
          <w:color w:val="555555"/>
          <w:sz w:val="18"/>
        </w:rPr>
        <w:t xml:space="preserve">Verordnung über das Naturschutzgebiet „Rangsdorfer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dieser Verordnung bleiben:</w:t>
      </w:r>
    </w:p>
    <w:p>
      <w:r>
        <w:t xml:space="preserve">die im Sinne des § 11 Abs. 2 des Brandenburgischen Naturschutzgesetzes ordnungsgemäße landwirtschaftliche Bodennutzung mit der Maßgabe, daß</w:t>
      </w:r>
    </w:p>
    <w:p>
      <w:r>
        <w:t xml:space="preserve">die Düngung von Grünland auf 60 Kilogramm pro Hektar Reinstickstoff beschränkt bleibt,</w:t>
      </w:r>
    </w:p>
    <w:p>
      <w:r>
        <w:t xml:space="preserve">die Beweidung von Grünland mit nicht mehr als 1,5 Großvieheinheiten pro Hektar erfolgt,</w:t>
      </w:r>
    </w:p>
    <w:p>
      <w:r>
        <w:t xml:space="preserve">die Verbote des § 4 Abs. 2 Nr. 20 und 23 gelten;</w:t>
      </w:r>
    </w:p>
    <w:p>
      <w:r>
        <w:t xml:space="preserve">die im Sinne des § 11 Abs. 3 des Brandenburgischen Naturschutzgesetzes ordnungsgemäße forstwirtschaftliche Bodennutzung mit der Maßgabe, daß bei der Wiederaufforstung die Verwendung von fremdländischen Baumarten verboten ist;</w:t>
      </w:r>
    </w:p>
    <w:p>
      <w:r>
        <w:t xml:space="preserve">die im Sinne des § 11 Abs. 4 des Brandenburgischen Naturschutzgesetzes ordnungsgemäße Ausübung der fischereiwirtschaftlichen Flächennutzung mit der Maßgabe, daß</w:t>
      </w:r>
    </w:p>
    <w:p>
      <w:r>
        <w:t xml:space="preserve">Fanggeräte und Fangmittel so einzusetzen oder auszustatten sind, daß ein Einschwimmen und eine Gefährdung des Fischotters weitgehend ausgeschlossen ist,</w:t>
      </w:r>
    </w:p>
    <w:p>
      <w:r>
        <w:t xml:space="preserve">die Elektrofischerei im Einvernehmen mit der unteren Naturschutzbehörde und der zuständigen Fischereibehörde erfolgt;</w:t>
      </w:r>
    </w:p>
    <w:p>
      <w:r>
        <w:t xml:space="preserve">für den Bereich der Jagd:</w:t>
      </w:r>
    </w:p>
    <w:p>
      <w:r>
        <w:t xml:space="preserve">die rechtmäßige Ausübung der Jagd mit der Maßgabe, daß aa) die Jagd in der Zeit vom 1. März bis 30. Juni eines jeden Jahres ausschließlich vom Ansitz aus erfolgt, ab) Fuchs und Schwarzwild intensiv bejagt werden, ac) die Wasservogeljagd verboten ist,</w:t>
      </w:r>
    </w:p>
    <w:p>
      <w:r>
        <w:t xml:space="preserve">die Anlage von Kirrungen außerhalb von Feuchtwiesen,</w:t>
      </w:r>
    </w:p>
    <w:p>
      <w:r>
        <w:t xml:space="preserve">die Anlage von Wildäckern außerhalb von Grünlandflächen;</w:t>
      </w:r>
    </w:p>
    <w:p>
      <w:r>
        <w:t xml:space="preserve">die sonstigen bei Inkrafttreten dieser Verordnung auf Grund behördlicher Einzelfallentscheidung rechtmäßig ausgeübten Nutzungen und Befugnisse in der bisherigen Art und im bisherigen Umfang;</w:t>
      </w:r>
    </w:p>
    <w:p>
      <w:r>
        <w:t xml:space="preserve">die ordnungsgemäße Unterhaltung der Gewässer und rechtmäßig bestehender Anlagen, einschließlich der dem öffentlichen Verkehr gewidmeten Straßen und Wege, im Einvernehmen mit der unteren Naturschutzbehörde mit der Maßgabe, daß Grundräumungen der Gräben nur zwischen dem 1. September und 31. Oktober und die Mahd der Grabenränder nur zwischen dem 15. Juli und 31. Oktober eines Jahres erfolgen. Der Herstellung eines Einvernehmens bedarf es nicht, soweit es sich um unaufschiebbare Maßnahmen handelt;</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