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VO-ID211916 (Brandenburg) — Schutzgegenstand</w:t>
      </w:r>
    </w:p>
    <w:p>
      <w:r>
        <w:rPr>
          <w:color w:val="555555"/>
          <w:sz w:val="18"/>
        </w:rPr>
        <w:t xml:space="preserve">Verordnung über das Naturschutzgebiet „Rangsdorfer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670 Hektar. Es umfaßt folgende Flächen in den Gemarkungen</w:t>
      </w:r>
    </w:p>
    <w:p>
      <w:r>
        <w:t xml:space="preserve">Rangsdorf</w:t>
      </w:r>
    </w:p>
    <w:p>
      <w:r>
        <w:t xml:space="preserve">Flur 1</w:t>
      </w:r>
    </w:p>
    <w:p>
      <w:r>
        <w:t xml:space="preserve">Flurstücke 7 (verlandender Seeanteil südlich der Autobahn), 41/6 (als Teilfläche zur südlichen Verlängerung der östlichen Flurstücksgrenze von Flurstück 44), 42, 43, 44, 45, 46;</w:t>
      </w:r>
    </w:p>
    <w:p>
      <w:r>
        <w:t xml:space="preserve">Flur 2</w:t>
      </w:r>
    </w:p>
    <w:p>
      <w:r>
        <w:t xml:space="preserve">Flurstücke 2 bis 55, 57, 58;</w:t>
      </w:r>
    </w:p>
    <w:p>
      <w:r>
        <w:t xml:space="preserve">Flur 3</w:t>
      </w:r>
    </w:p>
    <w:p>
      <w:r>
        <w:t xml:space="preserve">Flurstücke 63 bis 69;</w:t>
      </w:r>
    </w:p>
    <w:p>
      <w:r>
        <w:t xml:space="preserve">Glienick</w:t>
      </w:r>
    </w:p>
    <w:p>
      <w:r>
        <w:t xml:space="preserve">Flur 3</w:t>
      </w:r>
    </w:p>
    <w:p>
      <w:r>
        <w:t xml:space="preserve">Flurstücke 214, 215, 216/1, 216/2, 216/3, 216/4, 218 bis 228, 229/1, 229/2, 230 bis 301, 375 bis 433, 434/1, 434/3, 434/4, 435/1, 435/2, 435/3, 435/4, 436, 437 (Teilfläche nördlich vom Kassiner Weg), 458 bis 491;</w:t>
      </w:r>
    </w:p>
    <w:p>
      <w:r>
        <w:t xml:space="preserve">Groß-Schulzendorf</w:t>
      </w:r>
    </w:p>
    <w:p>
      <w:r>
        <w:t xml:space="preserve">Flur 3</w:t>
      </w:r>
    </w:p>
    <w:p>
      <w:r>
        <w:t xml:space="preserve">Flurstücke 3 (Teilfläche Graben östlich der Jühnsdorfer Landstraße), 49 (Teilfläche Graben, parallel der Landstraße nach Jühnsdorf, nördlich des Flurstücks 113/1), 50 bis 105, 106/1, 106/2, 107 bis 112;</w:t>
      </w:r>
    </w:p>
    <w:p>
      <w:r>
        <w:t xml:space="preserve">Gemarkung Jühnsdorf</w:t>
      </w:r>
    </w:p>
    <w:p>
      <w:r>
        <w:t xml:space="preserve">Flur 4</w:t>
      </w:r>
    </w:p>
    <w:p>
      <w:r>
        <w:t xml:space="preserve">Flurstücke 27, 28, 31;</w:t>
      </w:r>
    </w:p>
    <w:p>
      <w:r>
        <w:t xml:space="preserve">Flur 5</w:t>
      </w:r>
    </w:p>
    <w:p>
      <w:r>
        <w:t xml:space="preserve">Flurstücke 2/1, 2/2, 2/3, 3/1, 3/2, 4 bis 7, 8/1, 8/2, 9 bis 33, 35, 36, 38 bis 56, 57/2.</w:t>
      </w:r>
    </w:p>
    <w:p>
      <w:r>
        <w:t xml:space="preserve">Eine Kartenskizze ist dieser Verordnung zur Orientierung als Anlage beigefügt.</w:t>
      </w:r>
    </w:p>
    <w:p>
      <w:r>
        <w:t xml:space="preserve">(2) Die Grenzen des Naturschutzgebietes sind in topographischen Karten im Maßstab 1:10.000 und in Flurkarten mit ununterbrochener Linie eingetragen; als Grenze gilt der innere Rand der Linie. Die Karten können beim Ministerium für Umwelt, Naturschutz und Raumordnung des Landes Brandenburg, oberste Naturschutzbehörde, in Potsdam sowie bei dem Landkreis Teltow-Fläming,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