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VO-ID211912 (Brandenburg) — Befreiung</w:t>
      </w:r>
    </w:p>
    <w:p>
      <w:r>
        <w:rPr>
          <w:color w:val="555555"/>
          <w:sz w:val="18"/>
        </w:rPr>
        <w:t xml:space="preserve">Verordnung über das Naturschutzgebiet „Mögeliner 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VO-ID211912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https://recht.nulegal.eu/gesetze/VO-ID211912/7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