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VO-ID211912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„Mögeliner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Es werden folgende Pflege- und Entwicklungsmaßnahmen festgelegt:</w:t>
      </w:r>
    </w:p>
    <w:p>
      <w:r>
        <w:t xml:space="preserve">zur Sicherung und Entwicklung eines naturnahen Wasserstandes sollen nach Maßgabe wasserrechtlicher Ausbauverfahren noch vorhandene Meliorationssysteme rückgebaut werden;</w:t>
      </w:r>
    </w:p>
    <w:p>
      <w:r>
        <w:t xml:space="preserve">das Grünland soll durch extensive Bewirtschaftung in seinem Zustand erhalten werden;</w:t>
      </w:r>
    </w:p>
    <w:p>
      <w:r>
        <w:t xml:space="preserve">die Niederung soll vorrangig als extensives Dauergrünland bewirtschaftet werden.</w:t>
      </w:r>
    </w:p>
    <w:p>
      <w:r>
        <w:t xml:space="preserve">(2) Die Einzelheiten der in Absatz 1 festgelegten Maßnahmen werden in der Behandlungsrichtlinie nach § 9 dieser Verordnung festgelegt.</w:t>
      </w:r>
    </w:p>
    <w:p>
      <w:r>
        <w:rPr>
          <w:color w:val="555555"/>
          <w:sz w:val="17"/>
        </w:rPr>
        <w:t xml:space="preserve">Zitiervorschlag: § 6 VO-ID211912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https://recht.nulegal.eu/gesetze/VO-ID211912/6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