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VO-ID211910 (Brandenburg) — Zulässige Handlungen</w:t>
      </w:r>
    </w:p>
    <w:p>
      <w:r>
        <w:rPr>
          <w:color w:val="555555"/>
          <w:sz w:val="18"/>
        </w:rPr>
        <w:t xml:space="preserve">Verordnung über das Naturschutzgebiet „Flutgrabenaue Waltersdorf“</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w:t>
      </w:r>
    </w:p>
    <w:p>
      <w:r>
        <w:t xml:space="preserve">die im Sinne des § 11 Abs. 2 des Brandenburgischen Naturschutzgesetzes ordnungsgemäße landwirtschaftliche Bodennutzung in der bisherigen Art und im bisherigen Umfang auf den bisher rechtmäßig dafür genutzten Flächen;</w:t>
      </w:r>
    </w:p>
    <w:p>
      <w:r>
        <w:t xml:space="preserve">die im Sinne des § 11 Abs. 3 des Brandenburgischen Naturschutzgesetzes ordnungsgemäße forstwirtschaftliche Bodennutzung in der bisherigen Art und im bisherigen Umfang auf den bisher rechtmäßig dafür genutzten Flächen;</w:t>
      </w:r>
    </w:p>
    <w:p>
      <w:r>
        <w:t xml:space="preserve">die im Sinne des § 11 Abs. 4 des Brandenburgischen Naturschutzgesetzes ordnungsgemäße fischereiwirtschaftliche Flächennutzung;</w:t>
      </w:r>
    </w:p>
    <w:p>
      <w:r>
        <w:t xml:space="preserve">die rechtmäßige Ausübung der Jagd mit der Maßgabe, daß § 4 Abs. 2 Nr. 23 gilt;</w:t>
      </w:r>
    </w:p>
    <w:p>
      <w:r>
        <w:t xml:space="preserve">die ordnungsgemäße Unterhaltung der Gewässer und rechtmäßig bestehender Anlagen einschließlich der dem öffentlichen Verkehr gewidmeten Straßen und Wege im Einvernehmen mit der unteren Naturschutzbehörde. Der Herstellung eines Einvernehmens bedarf es nicht, soweit es sich um unaufschiebbare Maßnahmen handelt;</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Altlastverdachtsflächen und Maßnahmen der Altlastensanierung im Einvernehmen mit der unteren Naturschutzbehörde. Der Herstellung des Einvernehmens bedarf es nicht, soweit es sich um unaufschiebbare Maßnahmen handelt;</w:t>
      </w:r>
    </w:p>
    <w:p>
      <w:r>
        <w:t xml:space="preserve">Schutz-, Pflege- und Entwicklungsmaßnahmen, die von der zuständigen Naturschutzbehörde angeordnet worden sind;</w:t>
      </w:r>
    </w:p>
    <w:p>
      <w:r>
        <w:t xml:space="preserve">behördlich angeordnete oder zugelassene Beschilderungen.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VO-ID211910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https://recht.nulegal.eu/gesetze/VO-ID211910/5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