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VO-ID211907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„Trittsee-Bruchbach“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Es werden folgende Pflege- und Entwicklungsmaßnahmen festgelegt:</w:t>
      </w:r>
    </w:p>
    <w:p>
      <w:r>
        <w:t xml:space="preserve">Die Feuchtwiesen sollen als Extensivgrünland bewirtschaftet werden.</w:t>
      </w:r>
    </w:p>
    <w:p>
      <w:r>
        <w:t xml:space="preserve">Die Trockenrasenstandorte sollen durch Pflegemaßnahmen als solche offen gehalten werden.</w:t>
      </w:r>
    </w:p>
    <w:p>
      <w:r>
        <w:rPr>
          <w:color w:val="555555"/>
          <w:sz w:val="17"/>
        </w:rPr>
        <w:t xml:space="preserve">Zitiervorschlag: § 6 VO-ID211907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https://recht.nulegal.eu/gesetze/VO-ID211907/6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VO-ID211907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