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VO-ID211907 (Brandenburg) — Schutzzweck</w:t>
      </w:r>
    </w:p>
    <w:p>
      <w:r>
        <w:rPr>
          <w:color w:val="555555"/>
          <w:sz w:val="18"/>
        </w:rPr>
        <w:t xml:space="preserve">Verordnung über das Naturschutzgebiet „Trittsee-Bruchbach“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 ist die Erhaltung und Entwicklung des Gebietes</w:t>
      </w:r>
    </w:p>
    <w:p>
      <w:r>
        <w:t xml:space="preserve">als natürlicher und naturnaher Landschaftsbestandteil innerhalb einer glaziogenen Abflußrinne, die vom Schollener Ländchen in Richtung Südost zur Havelniederung verläuft;</w:t>
      </w:r>
    </w:p>
    <w:p>
      <w:r>
        <w:t xml:space="preserve">als Standort typischer, seltener, gefährdeter oder bestandsbedrohter Pflanzengesellschaften, insbesondere von Laichkrautgesellschaften, Röhrichten, Erlenbruchwald, Tannenwedel- und Torfmoos-Wollgrasgesellschaften, Kohldistelwiesen und Sandfluren;</w:t>
      </w:r>
    </w:p>
    <w:p>
      <w:r>
        <w:t xml:space="preserve">als Lebensraum typischer, seltener, gefährdeter oder bestandsbedrohter Tierarten, insbesondere von Schmetterlingen, Lurchen und Vogelarten;</w:t>
      </w:r>
    </w:p>
    <w:p>
      <w:r>
        <w:t xml:space="preserve">als Bestandteil des Biotopverbundes zwischen weiteren Naturschutzgebieten in der Region.</w:t>
      </w:r>
    </w:p>
    <w:p>
      <w:r>
        <w:rPr>
          <w:color w:val="555555"/>
          <w:sz w:val="17"/>
        </w:rPr>
        <w:t xml:space="preserve">Zitiervorschlag: § 3 VO-ID211907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