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VO-ID211903 (Brandenburg) — Verbote</w:t>
      </w:r>
    </w:p>
    <w:p>
      <w:r>
        <w:rPr>
          <w:color w:val="555555"/>
          <w:sz w:val="18"/>
        </w:rPr>
        <w:t xml:space="preserve">Verordnung über das Naturschutzgebiet „Döberitzer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abzulagern, die §§ 4 und 5 der Klärschlammverordnung bleiben unberührt;</w:t>
      </w:r>
    </w:p>
    <w:p>
      <w:r>
        <w:t xml:space="preserve">Pflanzenschutzmittel oder Mittel zur Steuerung biologischer Prozesse beziehungsweise Wachstumsregulatoren auf Grünlandflächen anzuwenden;</w:t>
      </w:r>
    </w:p>
    <w:p>
      <w:r>
        <w:t xml:space="preserve">Abfälle oder sonstige Gegenstände zu lagern oder abzulagern oder sich ihrer in sonstiger Weise zu entledigen.</w:t>
      </w:r>
    </w:p>
    <w:p>
      <w:r>
        <w:rPr>
          <w:color w:val="555555"/>
          <w:sz w:val="17"/>
        </w:rPr>
        <w:t xml:space="preserve">Zitiervorschlag: § 4 VO-ID211903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