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VO-ID211903 (Brandenburg) — Schutzzweck</w:t>
      </w:r>
    </w:p>
    <w:p>
      <w:r>
        <w:rPr>
          <w:color w:val="555555"/>
          <w:sz w:val="18"/>
        </w:rPr>
        <w:t xml:space="preserve">Verordnung über das Naturschutzgebiet „Döberitzer Heide“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Schutzzweck ist die Erhaltung und Entwicklung des Gebietes</w:t>
      </w:r>
    </w:p>
    <w:p>
      <w:r>
        <w:t xml:space="preserve">als Lebensstätte seltener, in ihrem Bestand bedrohter und wildlebender Pflanzengesellschaften, insbesondere von</w:t>
      </w:r>
    </w:p>
    <w:p>
      <w:r>
        <w:t xml:space="preserve">Schilfröhrichten, Mooren sowie eng miteinander vernetzten Kleingewässern, die als ausgedehnte Lebens- und Ruheräume für eine arten- und individuenreiche Flora mit überdurchschnittlich vielen seltenen und bestandsbedrohten Arten (z.B. verschiedenen Orchideenarten, Wiesenküchenschelle (Pulsatilla pratensis), Rosmarinheide (Andromeda polifolia)) dienen,</w:t>
      </w:r>
    </w:p>
    <w:p>
      <w:r>
        <w:t xml:space="preserve">Niederwäldern und aufgelassenen Hutewäldern, trockenen Eichen-Birken- Wäldern und naturnahen Vorwäldern,</w:t>
      </w:r>
    </w:p>
    <w:p>
      <w:r>
        <w:t xml:space="preserve">Trockenrasen, Heiden, offenen Sandflächen und nährstoffarmen Ruderalfluren;</w:t>
      </w:r>
    </w:p>
    <w:p>
      <w:r>
        <w:t xml:space="preserve">als Lebensstätte bestandsbedrohter wildlebender Tierarten, insbesondere</w:t>
      </w:r>
    </w:p>
    <w:p>
      <w:r>
        <w:t xml:space="preserve">als Brut-, Nahrungs- und Rastgebiet für zahlreiche Vogelarten (z.B. Wasser- und Watvögel),</w:t>
      </w:r>
    </w:p>
    <w:p>
      <w:r>
        <w:t xml:space="preserve">als Rückzugsgebiet für bestandsbedrohte Arten der Wirbellosenfauna (z.B. Libellenarten, Kurzflügler, Zweiflügler, Hautflügler, Krebsarten);</w:t>
      </w:r>
    </w:p>
    <w:p>
      <w:r>
        <w:t xml:space="preserve">aus ökologischen und wissenschaftlichen Gründen zur Einrichtung von Bio-Monitoringflächen sowie</w:t>
      </w:r>
    </w:p>
    <w:p>
      <w:r>
        <w:t xml:space="preserve">wegen der besonderen Eigenart des Gebietes auf Grund seiner mosaikartigen, eng miteinander vernetzten Biotopstrukturen.</w:t>
      </w:r>
    </w:p>
    <w:p>
      <w:r>
        <w:rPr>
          <w:color w:val="555555"/>
          <w:sz w:val="17"/>
        </w:rPr>
        <w:t xml:space="preserve">Zitiervorschlag: § 3 VO-ID211903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https://recht.nulegal.eu/gesetze/VO-ID211903/3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VO-ID211903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