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VO-ID211901 (Brandenburg) — Ordnungswidrigkeiten</w:t>
      </w:r>
    </w:p>
    <w:p>
      <w:r>
        <w:rPr>
          <w:color w:val="555555"/>
          <w:sz w:val="18"/>
        </w:rPr>
        <w:t xml:space="preserve">Verordnung über das Naturschutzgebiet „Schönerlinder Teiche“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Abs. 2 Nr. 1 bis 22 und § 5 oder den Maßgaben des § 7 dieser Verordnung verbotenen Handlungen vornimmt.</w:t>
      </w:r>
    </w:p>
    <w:p>
      <w:r>
        <w:t xml:space="preserve">(2) Ordnungswidrigkeiten nach Absatz 1 können gemäß § 74 des Brandenburgischen Naturschutzgesetzes mit einer Geldbuße von bis zu hunderttausend Deutsche Mark geahndet werden.</w:t>
      </w:r>
    </w:p>
    <w:p>
      <w:r>
        <w:rPr>
          <w:color w:val="555555"/>
          <w:sz w:val="17"/>
        </w:rPr>
        <w:t xml:space="preserve">Zitiervorschlag: § 9 VO-ID211901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https://recht.nulegal.eu/gesetze/VO-ID211901/9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VO-ID211901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