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VO-ID211901 (Brandenburg) — Zulässige Handlungen</w:t>
      </w:r>
    </w:p>
    <w:p>
      <w:r>
        <w:rPr>
          <w:color w:val="555555"/>
          <w:sz w:val="18"/>
        </w:rPr>
        <w:t xml:space="preserve">Verordnung über das Naturschutzgebiet „Schönerlinder Teiche“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mit der Maßgabe, daß</w:t>
      </w:r>
    </w:p>
    <w:p>
      <w:r>
        <w:t xml:space="preserve">die Mahd der Orchideenstandorte vor dem 15. Juni eines jeden Jahres verboten ist,</w:t>
      </w:r>
    </w:p>
    <w:p>
      <w:r>
        <w:t xml:space="preserve">die Verbote des § 4 Abs. 2 Nr. 17, 18, 20 und 21 gelten;</w:t>
      </w:r>
    </w:p>
    <w:p>
      <w:r>
        <w:t xml:space="preserve">die im Sinne des § 11 Abs. 4 des Brandenburgischen Naturschutzgesetzes ordnungsgemäße fischereiwirtschaftliche Flächennutzung mit der Maßgabe, daß</w:t>
      </w:r>
    </w:p>
    <w:p>
      <w:r>
        <w:t xml:space="preserve">die Teichbewirtschaftung extensiv, ohne Zufütterung erfolgt, das heißt das Verbot des § 4 Abs. 2 Nr. 19 weiter gilt,</w:t>
      </w:r>
    </w:p>
    <w:p>
      <w:r>
        <w:t xml:space="preserve">nur die zum gegenwärtigen Zeitpunkt bespannten Teichflächen genutzt werden,</w:t>
      </w:r>
    </w:p>
    <w:p>
      <w:r>
        <w:t xml:space="preserve">alle Erweiterungen sowie Rekonstruktionsmaßnahmen einvernehmlich mit der unteren Naturschutzbehörde abzustimmen sind,</w:t>
      </w:r>
    </w:p>
    <w:p>
      <w:r>
        <w:t xml:space="preserve">das Angeln nur an den in der Karte gekennzeichneten Stellen (Nordwest- und Südwestufer des Teiches Nr. 10) ausgeübt werden darf und weitere Stellen im Einvernehmen mit der unteren Naturschutzbehörde festgelegt werden können;</w:t>
      </w:r>
    </w:p>
    <w:p>
      <w:r>
        <w:t xml:space="preserve">die rechtmäßige Ausübung der Jagd mit der Maßgabe, daß</w:t>
      </w:r>
    </w:p>
    <w:p>
      <w:r>
        <w:t xml:space="preserve">die Anlage von Kirrungen verboten ist,</w:t>
      </w:r>
    </w:p>
    <w:p>
      <w:r>
        <w:t xml:space="preserve">die Wasservogeljagd verboten ist,</w:t>
      </w:r>
    </w:p>
    <w:p>
      <w:r>
        <w:t xml:space="preserve">die Jagd in der Zeit vom 15. März bis 30. Juni eines jeden Jahres ausschließlich vom Ansitz aus erfolgt,</w:t>
      </w:r>
    </w:p>
    <w:p>
      <w:r>
        <w:t xml:space="preserve">vorzugsweise Fuchs und Schwarzwild bejagt werden,</w:t>
      </w:r>
    </w:p>
    <w:p>
      <w:r>
        <w:t xml:space="preserve">die Anlage von Ansaatwildwiesen und Wildäckern verboten ist,</w:t>
      </w:r>
    </w:p>
    <w:p>
      <w:r>
        <w:t xml:space="preserve">die Ausbildung und Prüfung von Jagdhunden verboten ist;</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obersten Naturschutzbehörde oder der von ihr beauftragten Stelle angeordnet worden sind;</w:t>
      </w:r>
    </w:p>
    <w:p>
      <w:r>
        <w:t xml:space="preserve">behördlich angeordnete oder zugelassene Beschilderungen.</w:t>
      </w:r>
    </w:p>
    <w:p>
      <w:r>
        <w:t xml:space="preserve">(2) Die in § 4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7 VO-ID211901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https://recht.nulegal.eu/gesetze/VO-ID211901/7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VO-ID211901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