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VO-ID211901 (Brandenburg) — Schutzzweck</w:t>
      </w:r>
    </w:p>
    <w:p>
      <w:r>
        <w:rPr>
          <w:color w:val="555555"/>
          <w:sz w:val="18"/>
        </w:rPr>
        <w:t xml:space="preserve">Verordnung über das Naturschutzgebiet „Schönerlinder Teiche“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 der Erhalt und die Entwicklung des Gebietes</w:t>
      </w:r>
    </w:p>
    <w:p>
      <w:r>
        <w:t xml:space="preserve">als ein aus einer extensiven Teichwirtschaft durch teilweise Nutzungsauflassung entstandener Sekundärbiotop mit einer vielfältigen Artenzusammensetzung, die in ihrer Gesamtheit der eines reichstrukturierten Flachwassersees entspricht;</w:t>
      </w:r>
    </w:p>
    <w:p>
      <w:r>
        <w:t xml:space="preserve">als Standort seltener, in ihrem Bestand bedrohter wild wachsender Pflanzengesellschaften, insbesondere der Röhrichte, Wasserpflanzengesellschaften, Feucht- und Frischwiesen;</w:t>
      </w:r>
    </w:p>
    <w:p>
      <w:r>
        <w:t xml:space="preserve">als überregional bedeutsames Brut-, Rast- und Nahrungsbiotop für zahlreiche gefährdete Vogelarten;</w:t>
      </w:r>
    </w:p>
    <w:p>
      <w:r>
        <w:t xml:space="preserve">als Lebensraum bestandsbedrohter Tier- und Pflanzenarten, insbesondere von Amphibien- und Insektenarten sowie von einheimischen Orchideen;</w:t>
      </w:r>
    </w:p>
    <w:p>
      <w:r>
        <w:t xml:space="preserve">als wesentlicher Bestandteil des überregionalen Biotopverbundes im Bereich des Tegeler Fließtals;</w:t>
      </w:r>
    </w:p>
    <w:p>
      <w:r>
        <w:t xml:space="preserve">wegen seiner Vielfalt, besonderen Eigenart und landschaftlichen Schönheit am Rande der Großstadt Berlin;</w:t>
      </w:r>
    </w:p>
    <w:p>
      <w:r>
        <w:t xml:space="preserve">für die wissenschaftliche Forschung;</w:t>
      </w:r>
    </w:p>
    <w:p>
      <w:r>
        <w:t xml:space="preserve">wegen der Wasserspeicherfähigkeit des Feuchtgebietes und der offenen Wasserflächen;</w:t>
      </w:r>
    </w:p>
    <w:p>
      <w:r>
        <w:t xml:space="preserve">als Klimaausgleichsfläche innerhalb der Frischluftschneise für die Großstadt Berlin.</w:t>
      </w:r>
    </w:p>
    <w:p>
      <w:r>
        <w:rPr>
          <w:color w:val="555555"/>
          <w:sz w:val="17"/>
        </w:rPr>
        <w:t xml:space="preserve">Zitiervorschlag: § 3 VO-ID211901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https://recht.nulegal.eu/gesetze/VO-ID211901/3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VO-ID211901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