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VO-ID211900 (Brandenburg) — Verhältnis zu anderen naturschutzrechtlichen Bestimmungen</w:t>
      </w:r>
    </w:p>
    <w:p>
      <w:r>
        <w:rPr>
          <w:color w:val="555555"/>
          <w:sz w:val="18"/>
        </w:rPr>
        <w:t xml:space="preserve">Verordnung über das Naturschutzgebiet „Sadenbecker Brandhorst“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des Schutzzwecks und die Duldung von Maßnahmen des Naturschutzes und der Landschaftspflege richten sich nach den §§ 29,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(nach den §§ 31 bis 36 des Brandenburgischen Naturschutzgesetzes) und über den Schutz und die Pflege wildlebender Tier- und Pflanzenarten (nach den §§ 20 bis 26 c des Bundesnaturschutzgesetzes und den §§ 37 bis 43 des Brandenburgischen Naturschutzgesetzes) unberührt.</w:t>
      </w:r>
    </w:p>
    <w:p>
      <w:r>
        <w:rPr>
          <w:color w:val="555555"/>
          <w:sz w:val="17"/>
        </w:rPr>
        <w:t xml:space="preserve">Zitiervorschlag: § 8 VO-ID211900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https://recht.nulegal.eu/gesetze/VO-ID211900/8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