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VO-ID211900 (Brandenburg) — Zulässige Handlungen</w:t>
      </w:r>
    </w:p>
    <w:p>
      <w:r>
        <w:rPr>
          <w:color w:val="555555"/>
          <w:sz w:val="18"/>
        </w:rPr>
        <w:t xml:space="preserve">Verordnung über das Naturschutzgebiet „Sadenbecker Brandhorst“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2 des Brandenburgischen Naturschutzgesetzes ordnungsgemäße landwirtschaftliche Bodennutzung in der bisherigen Art und im bisherigen Umfang auf den bisher rechtmäßig dafür genutzten Flächen;</w:t>
      </w:r>
    </w:p>
    <w:p>
      <w:r>
        <w:t xml:space="preserve">die im Sinne des § 11 Abs. 3 des Brandenburgischen Naturschutzgesetzes ordnungsgemäße forstwirtschaftliche Bodennutzung in der bisherigen Art und im bisherigen Umfang auf den bisher dafür genutzten Flächen mit der Maßgabe, daß bei Wiederaufforstung nur heimische Baumarten und ein hoher Anteil an Laubholzarten verwendet werden;</w:t>
      </w:r>
    </w:p>
    <w:p>
      <w:r>
        <w:t xml:space="preserve">die rechtmäßige Ausübung der Jagd mit der Maßgabe, daß</w:t>
      </w:r>
    </w:p>
    <w:p>
      <w:r>
        <w:t xml:space="preserve">die Jagd in der Zeit vom 15. März bis 30. Juni eines Jahres ausschließlich vom Ansitz aus erfolgt,</w:t>
      </w:r>
    </w:p>
    <w:p>
      <w:r>
        <w:t xml:space="preserve">die Jagd auf Fuchs und Schwarzwild intensiv erfolgt;</w:t>
      </w:r>
    </w:p>
    <w:p>
      <w:r>
        <w:t xml:space="preserve">die sonstigen bei Inkrafttreten dieser Verordnung auf Grund behördlicher Einzelfallentscheidung rechtmäßig ausgeübten Nutzungen und Befugnisse in der bisherigen Art und im bisherigen Umfang;</w:t>
      </w:r>
    </w:p>
    <w:p>
      <w:r>
        <w:t xml:space="preserve">Schutz-, Pflege- und Entwicklungsmaßnahmen, die von der unteren Naturschutzbehörde oder der von ihr beauftragten Stelle angeordnet worden sind;</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behördlich angeordnete oder zugelassene Beschilderungen.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VO-ID211900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https://recht.nulegal.eu/gesetze/VO-ID211900/5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