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VO-ID211900 (Brandenburg) — Inkrafttreten</w:t>
      </w:r>
    </w:p>
    <w:p>
      <w:r>
        <w:rPr>
          <w:color w:val="555555"/>
          <w:sz w:val="18"/>
        </w:rPr>
        <w:t xml:space="preserve">Verordnung über das Naturschutzgebiet „Sadenbecker Brandhorst“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21. Mai 1997</w:t>
      </w:r>
    </w:p>
    <w:p>
      <w:r>
        <w:t xml:space="preserve">Der Minister für Umwelt, Naturschutz und Raumordnung</w:t>
      </w:r>
    </w:p>
    <w:p>
      <w:r>
        <w:t xml:space="preserve">Matthias Platzeck</w:t>
      </w:r>
    </w:p>
    <w:p>
      <w:r>
        <w:t xml:space="preserve">Anm.: Die Anlage wurde nicht aufgenommen.</w:t>
      </w:r>
    </w:p>
    <w:p>
      <w:r>
        <w:rPr>
          <w:color w:val="555555"/>
          <w:sz w:val="17"/>
        </w:rPr>
        <w:t xml:space="preserve">Zitiervorschlag: § 10 VO-ID211900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