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VO-ID211897 (Brandenburg) — Schutzzweck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seltener, in ihrem Bestand bedrohter wild wachsender Pflanzengesellschaften, insbesondere von Laichkraut und Schwimmblattgesellschaften, Röhrichten,.Großseggenrieden, Zwergbinsengesellschaften sowie Ufergehölzen und Feuchtwiesen;</w:t>
      </w:r>
    </w:p>
    <w:p>
      <w:r>
        <w:t xml:space="preserve">als Lebensraum bestandsbedrohter Tierarten, insbesondere von zahlreichen Amphibien- und Vogelarten;</w:t>
      </w:r>
    </w:p>
    <w:p>
      <w:r>
        <w:t xml:space="preserve">aus ökologischen Gründen wegen der Bedeutung des Gebietes im Rahmen des regionalen Biotopverbundes;</w:t>
      </w:r>
    </w:p>
    <w:p>
      <w:r>
        <w:t xml:space="preserve">wegen seiner besonderen Eigenart und der Flachwasserverlandungszonen mit der kompletten Serie verschiedener Verlandungsstadien.</w:t>
      </w:r>
    </w:p>
    <w:p>
      <w:r>
        <w:rPr>
          <w:color w:val="555555"/>
          <w:sz w:val="17"/>
        </w:rPr>
        <w:t xml:space="preserve">Zitiervorschlag: § 3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