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VO-ID211897 (Brandenburg) — Schutzgegenstand</w:t>
      </w:r>
    </w:p>
    <w:p>
      <w:r>
        <w:rPr>
          <w:color w:val="555555"/>
          <w:sz w:val="18"/>
        </w:rPr>
        <w:t xml:space="preserve">Verordnung über das Naturschutzgebiet „Puhlsee“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60 Hektar. Es umfaßt folgende Flurstücke in den Gemarkungen</w:t>
      </w:r>
    </w:p>
    <w:p>
      <w:r>
        <w:t xml:space="preserve">Göttlin</w:t>
      </w:r>
    </w:p>
    <w:p>
      <w:r>
        <w:t xml:space="preserve">Flur 2</w:t>
      </w:r>
    </w:p>
    <w:p>
      <w:r>
        <w:t xml:space="preserve">39/1, 55/1, 55/2, 57, 58/1, 58/2, 59,74, 75, 76/1 anteilig;</w:t>
      </w:r>
    </w:p>
    <w:p>
      <w:r>
        <w:t xml:space="preserve">Rathenow</w:t>
      </w:r>
    </w:p>
    <w:p>
      <w:r>
        <w:t xml:space="preserve">Flur 4</w:t>
      </w:r>
    </w:p>
    <w:p>
      <w:r>
        <w:t xml:space="preserve">1/1, 1/2, 2-14, 22, 23/1, 25/3 anteilig;</w:t>
      </w:r>
    </w:p>
    <w:p>
      <w:r>
        <w:t xml:space="preserve">Steckelsdorf</w:t>
      </w:r>
    </w:p>
    <w:p>
      <w:r>
        <w:t xml:space="preserve">Flur 1</w:t>
      </w:r>
    </w:p>
    <w:p>
      <w:r>
        <w:t xml:space="preserve">81/1 anteilig, 86;</w:t>
      </w:r>
    </w:p>
    <w:p>
      <w:r>
        <w:t xml:space="preserve">Flur 4</w:t>
      </w:r>
    </w:p>
    <w:p>
      <w:r>
        <w:t xml:space="preserve">21, 22/3, 22/8, 22/9, 22/10 anteilig, 22/11;</w:t>
      </w:r>
    </w:p>
    <w:p>
      <w:r>
        <w:t xml:space="preserve">Schleuse</w:t>
      </w:r>
    </w:p>
    <w:p>
      <w:r>
        <w:t xml:space="preserve">Flur 5</w:t>
      </w:r>
    </w:p>
    <w:p>
      <w:r>
        <w:t xml:space="preserve">1, 2/1, 2/2, 3/1 anteilig, 4/3, 4/4,</w:t>
      </w:r>
    </w:p>
    <w:p>
      <w:r>
        <w:t xml:space="preserve">(Gemeinde Steckelsdorf)</w:t>
      </w:r>
    </w:p>
    <w:p>
      <w:r>
        <w:t xml:space="preserve">4/5, 4/8, 5, 6/1, 11/1 anteilig.</w:t>
      </w:r>
    </w:p>
    <w:p>
      <w:r>
        <w:t xml:space="preserve">Eine Kartenskizze ist dieser Verordnung zur Orientierung als Anlage beigefügt.</w:t>
      </w:r>
    </w:p>
    <w:p>
      <w:r>
        <w:t xml:space="preserve">(2) Die Grenzen des Naturschutzgebietes sind in einer topographischen Karte im Maßstab 1:10.000 und in Flurkarten mit ununterbrochener Linie eingetragen; als Grenze gilt der innere Rand dieser Linie.</w:t>
      </w:r>
    </w:p>
    <w:p>
      <w:r>
        <w:t xml:space="preserve">Die Karten können beim Ministerium für Umwelt, Naturschutz und Raumordnung des Landes Brandenburg, oberste Naturschutzbehörde, in Potsdam, sowie beim Landkreis Havelland, untere Naturschutzbehörde, von jedermann während der Dienstzeiten kostenlos eingesehen werden.</w:t>
      </w:r>
    </w:p>
    <w:p>
      <w:r>
        <w:rPr>
          <w:color w:val="555555"/>
          <w:sz w:val="17"/>
        </w:rPr>
        <w:t xml:space="preserve">Zitiervorschlag: § 2 VO-ID211897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https://recht.nulegal.eu/gesetze/VO-ID211897/2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