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VO-ID211894 (Brandenburg) — Verhältnis zu anderen naturschutzrechtlichen Bestimmungen</w:t>
      </w:r>
    </w:p>
    <w:p>
      <w:r>
        <w:rPr>
          <w:color w:val="555555"/>
          <w:sz w:val="18"/>
        </w:rPr>
        <w:t xml:space="preserve">Verordnung über das Naturschutzgebiet „Ferbitzer Bruch“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Behandlungsrichtlinien zur Ausführung der in dieser Verordnung festgelegten Schutz-, Pflege- und Entwicklungsmaßnahmen und zur Verwirklichung des Schutzzwecks und die Duldung von Maßnahmen des Naturschutzes und der Landschaftspflege richten sich nach den §§ 29 und 68 des Brandenburgischen Naturschutzgesetzes.</w:t>
      </w:r>
    </w:p>
    <w:p>
      <w:r>
        <w:t xml:space="preserve">(2) Soweit nichts anderes bestimmt ist, gehen die Vorschriften dieser Verordnung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 31 ff. des Brandenburgischen Naturschutzgesetz) und über den Schutz und die Pflege wildlebender Tier- und Pflanzenarten (§§ 20 ff. des Bundesnaturschutzgesetzes, §§ 37 ff. des Brandenburgischen Naturschutzgesetzes) unberührt.</w:t>
      </w:r>
    </w:p>
    <w:p>
      <w:r>
        <w:rPr>
          <w:color w:val="555555"/>
          <w:sz w:val="17"/>
        </w:rPr>
        <w:t xml:space="preserve">Zitiervorschlag: § 9 VO-ID211894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https://recht.nulegal.eu/gesetze/VO-ID211894/9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