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VO-ID211894 (Brandenburg) — Zulässige Handlungen</w:t>
      </w:r>
    </w:p>
    <w:p>
      <w:r>
        <w:rPr>
          <w:color w:val="555555"/>
          <w:sz w:val="18"/>
        </w:rPr>
        <w:t xml:space="preserve">Verordnung über das Naturschutzgebiet „Ferbitzer Bruch“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sind:</w:t>
      </w:r>
    </w:p>
    <w:p>
      <w:r>
        <w:t xml:space="preserve">die im Sinne des § 11 Abs. 2 des Brandenburgischen Naturschutzgesetzes ordnungsgemäße landwirtschaftliche Bodennutzung auf den bisher dafür genutzten Flächen;</w:t>
      </w:r>
    </w:p>
    <w:p>
      <w:r>
        <w:t xml:space="preserve">die im Sinne des § 11 Abs. 3 des Brandenburgischen Naturschutzgesetzes ordnungsgemäße forstwirt-schaftliche Nutzung mit der Maßgabe, daß die Nutzung kahlschlagslos erfolgt;</w:t>
      </w:r>
    </w:p>
    <w:p>
      <w:r>
        <w:t xml:space="preserve">die rechtmäßige Ausübung der Jagd mit der Maßgabe, daß</w:t>
      </w:r>
    </w:p>
    <w:p>
      <w:r>
        <w:t xml:space="preserve">die Jagd in der Zeit vom 1. März bis zum 30. Juni ausschließlich vom Ansitz erfolgt,</w:t>
      </w:r>
    </w:p>
    <w:p>
      <w:r>
        <w:t xml:space="preserve">jagdliche Einrichtungen auf das notwendige Maß zu beschränken und in das Landschaftsbild einzupassen sind,</w:t>
      </w:r>
    </w:p>
    <w:p>
      <w:r>
        <w:t xml:space="preserve">Kanzeln und Ansitzleitern in den auf den Karten schwarz schraffierten Gebieten im Einvernehmen mit der unteren Naturschutzbehörde errichtet werden,</w:t>
      </w:r>
    </w:p>
    <w:p>
      <w:r>
        <w:t xml:space="preserve">die Jagd auf Wasservögel verboten ist,</w:t>
      </w:r>
    </w:p>
    <w:p>
      <w:r>
        <w:t xml:space="preserve">keine Jagdhunde für die Wasserarbeit abgerichtet und geprüft werden,</w:t>
      </w:r>
    </w:p>
    <w:p>
      <w:r>
        <w:t xml:space="preserve">Drück- und Treibjagden nur in der Zeit vom 15. November bis zum 31. Januar erfolgen;</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unaufschiebare Maßnahmen handelt;</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obersten Naturschutzbehörde oder der von ihr beauftragten Stelle angeordnet worden sind;</w:t>
      </w:r>
    </w:p>
    <w:p>
      <w:r>
        <w:t xml:space="preserve">behördlich angeordnete oder zugelassene Beschilderungen.</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andere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6 VO-ID211894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