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VO-ID211894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festgelegt:</w:t>
      </w:r>
    </w:p>
    <w:p>
      <w:r>
        <w:t xml:space="preserve">die natürlichen Wasserverhältnisse sollen, wo immer möglich, erhalten beziehungsweise wiederhergestellt werden, um die naturnahe Vegetation und die Lebensräume, besonders die gefährdeter Arten, zu erhalten und zu fördern;</w:t>
      </w:r>
    </w:p>
    <w:p>
      <w:r>
        <w:t xml:space="preserve">nach Möglichkeit sollen Weideland und Hutungen mit nicht mehr als 1,5 Großvieheinheiten pro Hektar beweidet werden;</w:t>
      </w:r>
    </w:p>
    <w:p>
      <w:r>
        <w:t xml:space="preserve">auf einen Umbruch von Grünland soll nach Möglichkeit verzichtet werden;</w:t>
      </w:r>
    </w:p>
    <w:p>
      <w:r>
        <w:t xml:space="preserve">Mineraldünger und Gülle sollen möglichst nicht ausgebracht werden.</w:t>
      </w:r>
    </w:p>
    <w:p>
      <w:r>
        <w:rPr>
          <w:color w:val="555555"/>
          <w:sz w:val="17"/>
        </w:rPr>
        <w:t xml:space="preserve">Zitiervorschlag: § 5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