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VO-ID211880 (Brandenburg) — Zulässige Handlungen</w:t>
      </w:r>
    </w:p>
    <w:p>
      <w:r>
        <w:rPr>
          <w:color w:val="555555"/>
          <w:sz w:val="18"/>
        </w:rPr>
        <w:t xml:space="preserve">Verordnung über das Naturschutzgebiet „Grünauer Fenn“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von § 11 Abs. 3 des Brandenburgischen Naturschutzgesetzes ordnungsgemäße forstwirtschaftliche Bodennutzung in der bisherigen Art und im bisherigen Umfang auf den bisher dafür genutzten Flächen;</w:t>
      </w:r>
    </w:p>
    <w:p>
      <w:r>
        <w:t xml:space="preserve">die rechtmäßige Ausübung der Jagd mit der Maßgabe, daß</w:t>
      </w:r>
    </w:p>
    <w:p>
      <w:r>
        <w:t xml:space="preserve">das Verbot nach § 4 Abs. 2 Nr. 24 gilt,</w:t>
      </w:r>
    </w:p>
    <w:p>
      <w:r>
        <w:t xml:space="preserve">die Jagd auf Wasservögel ab dem 15. November bis zum Ende der gesetzlichen Jagdzeit zulässig ist,</w:t>
      </w:r>
    </w:p>
    <w:p>
      <w:r>
        <w:t xml:space="preserve">die Jagd in der Zeit vom 01. März bis zum 30. Juni eines Jahres ausschließlich vom Ansitz erfolgt und</w:t>
      </w:r>
    </w:p>
    <w:p>
      <w:r>
        <w:t xml:space="preserve">die Jagd auf Fuchs und Schwarzwild intensiv erfolgt;</w:t>
      </w:r>
    </w:p>
    <w:p>
      <w:r>
        <w:t xml:space="preserve">die ordnungsgemäße Unterhaltung der Gewässer und rechtmäßig bestehender Anlagen, einschließlich der dem öffentlichen Verkehr gewidmeten Straßen und Wege, im Einvernehmen mit der unteren Naturschutzbehörde. Der Herstellung eines Einvernehmens bedarf es nicht, soweit es sich um unaufschiebbare Maßnahmen handelt;</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Schutz-, Pflege- und Entwicklungsmaßnahmen, die von der obersten Naturschutzbehörde oder der von ihr beauftragten Stelle angeordnet worden sind;</w:t>
      </w:r>
    </w:p>
    <w:p>
      <w:r>
        <w:t xml:space="preserve">behördlich angeordnete oder zugelassene Beschilderungen.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andere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VO-ID211880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https://recht.nulegal.eu/gesetze/VO-ID211880/5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