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VO-ID211878 (Brandenburg) — Schutzzweck</w:t>
      </w:r>
    </w:p>
    <w:p>
      <w:r>
        <w:rPr>
          <w:color w:val="555555"/>
          <w:sz w:val="18"/>
        </w:rPr>
        <w:t xml:space="preserve">Verordnung über das Naturschutzgebiet „Höllengrund - Pulverberg“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 die Erhaltung und Entwicklung des Gebietes</w:t>
      </w:r>
    </w:p>
    <w:p>
      <w:r>
        <w:t xml:space="preserve">als Standort von seltenen, in ihrem Bestand bedrohter wildwachsender Pflanzengesellschaften, insbesondere Reste einer Weichholzaue, Großseggenrieden, Erlenbrüchen, Weidenbüschen, Feuchtwiesen und Trockenrasen;</w:t>
      </w:r>
    </w:p>
    <w:p>
      <w:r>
        <w:t xml:space="preserve">als Lebensraum bestandsbedrohter Tierarten, insbesondere als Brut- und Nahrungsgebiet für zahlreiche Kleinvogelarten sowie als Rückzugsgebiet für bestandsbedrohte Lurche und Kriechtiere und an aquatische Lebensräume und Trockenbiotope gebundene Insekten;</w:t>
      </w:r>
    </w:p>
    <w:p>
      <w:r>
        <w:t xml:space="preserve">in seiner durch die besonderen geologischen Bedingungen entstandenen, tief und markant in die Landschaft eingeschnittenen Talrinne, dem Höllengrund mit einem noch heute mäandrierenden, natürlichen Bachlauf, dem Ebbegraben;</w:t>
      </w:r>
    </w:p>
    <w:p>
      <w:r>
        <w:t xml:space="preserve">aus ökologischen Gründen zur Sicherung der Kleingewässerkette im Rahmen des regionalen Biotopverbundes sowie zur Erhaltung und Wiederherstellung der Selbstreinigungskraft des Fließgewässersystems.</w:t>
      </w:r>
    </w:p>
    <w:p>
      <w:r>
        <w:rPr>
          <w:color w:val="555555"/>
          <w:sz w:val="17"/>
        </w:rPr>
        <w:t xml:space="preserve">Zitiervorschlag: § 3 VO-ID211878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https://recht.nulegal.eu/gesetze/VO-ID211878/3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