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VO-ID211876 (Brandenburg)</w:t>
      </w:r>
    </w:p>
    <w:p>
      <w:r>
        <w:rPr>
          <w:color w:val="555555"/>
          <w:sz w:val="18"/>
        </w:rPr>
        <w:t xml:space="preserve">Verordnung über Zuständigkeiten nach dem Forstschäden-Ausgleichsgesetz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 für die Verfolgung und Ahndung von</w:t>
      </w:r>
    </w:p>
    <w:p>
      <w:r>
        <w:t xml:space="preserve">Ordnungswidrigkeiten nach § 11 Abs. 1 des</w:t>
      </w:r>
    </w:p>
    <w:p>
      <w:r>
        <w:t xml:space="preserve">Forstschäden-Ausgleichsgesetzes sind die Ämter für</w:t>
      </w:r>
    </w:p>
    <w:p>
      <w:r>
        <w:t xml:space="preserve">Forstwirtschaft.</w:t>
      </w:r>
    </w:p>
    <w:p>
      <w:r>
        <w:rPr>
          <w:color w:val="555555"/>
          <w:sz w:val="17"/>
        </w:rPr>
        <w:t xml:space="preserve">Zitiervorschlag: § 2 VO-ID211876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