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VO-ID211872 (Brandenburg)</w:t>
      </w:r>
    </w:p>
    <w:p>
      <w:r>
        <w:rPr>
          <w:color w:val="555555"/>
          <w:sz w:val="18"/>
        </w:rPr>
        <w:t xml:space="preserve">Verordnung über Zuständigkeiten nach dem 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Verbraucherschutz, Landwirtschaft und Flurneuordnung</w:t>
      </w:r>
    </w:p>
    <w:p>
      <w:r>
        <w:t xml:space="preserve">ist im Land Berlin zuständig für</w:t>
      </w:r>
    </w:p>
    <w:p>
      <w:r>
        <w:t xml:space="preserve">den Vollzug der Maßnahmen in Durchführung des gemäß</w:t>
      </w:r>
    </w:p>
    <w:p>
      <w:r>
        <w:t xml:space="preserve">§ 9 Abs. 1 des Gesetzes über die Gemeinschaftsaufgabe</w:t>
      </w:r>
    </w:p>
    <w:p>
      <w:r>
        <w:t xml:space="preserve">„Verbesserung der Agrarstruktur und des Küstenschutzes“ in der</w:t>
      </w:r>
    </w:p>
    <w:p>
      <w:r>
        <w:t xml:space="preserve">Fassung der Bekanntmachung vom 21. Juli 1988 (BGBl. I S. 1055) erlassenen</w:t>
      </w:r>
    </w:p>
    <w:p>
      <w:r>
        <w:t xml:space="preserve">Rahmenplanes in der jeweils geltenden Fassung in den Bereichen der</w:t>
      </w:r>
    </w:p>
    <w:p>
      <w:r>
        <w:t xml:space="preserve">Förderung</w:t>
      </w:r>
    </w:p>
    <w:p>
      <w:r>
        <w:t xml:space="preserve">der integrierten ländlichen Entwicklung,</w:t>
      </w:r>
    </w:p>
    <w:p>
      <w:r>
        <w:t xml:space="preserve">von wasserwirtschaftlichen und kulturbautechnischen Maßnahmen,</w:t>
      </w:r>
    </w:p>
    <w:p>
      <w:r>
        <w:t xml:space="preserve">auf Grund des Marktstrukturgesetzes,</w:t>
      </w:r>
    </w:p>
    <w:p>
      <w:r>
        <w:t xml:space="preserve">die Durchführung der Aufgaben gemäß Artikel 6 Nr. 1 und 3</w:t>
      </w:r>
    </w:p>
    <w:p>
      <w:r>
        <w:t xml:space="preserve">des Landwirtschaftsstaatsvertrages,</w:t>
      </w:r>
    </w:p>
    <w:p>
      <w:r>
        <w:t xml:space="preserve">die Durchführung der Aufgaben, die nach dem Flurbereinigungsgesetz</w:t>
      </w:r>
    </w:p>
    <w:p>
      <w:r>
        <w:t xml:space="preserve">sowie nach dem Landwirtschaftsanpassungsgesetz von der</w:t>
      </w:r>
    </w:p>
    <w:p>
      <w:r>
        <w:t xml:space="preserve">Flurbereinigungsbehörde wahrzunehmen sind,</w:t>
      </w:r>
    </w:p>
    <w:p>
      <w:r>
        <w:t xml:space="preserve">die Überwachung der Kontrollstellen gemäß § 4 Abs. 3</w:t>
      </w:r>
    </w:p>
    <w:p>
      <w:r>
        <w:t xml:space="preserve">des Öko-Landbaugesetzes in der Fassung der Bekanntmachung vom 12. August</w:t>
      </w:r>
    </w:p>
    <w:p>
      <w:r>
        <w:t xml:space="preserve">2005 (BGBl. I S. 2431) in Verbindung mit Artikel 9 Abs. 6 Buchstabe a bis c der</w:t>
      </w:r>
    </w:p>
    <w:p>
      <w:r>
        <w:t xml:space="preserve">Verordnung (EWG) Nr. 2092/91 des Rates vom 24. Juni 1991 über den</w:t>
      </w:r>
    </w:p>
    <w:p>
      <w:r>
        <w:t xml:space="preserve">ökologischen Landbau und die entsprechende Kennzeichnung der</w:t>
      </w:r>
    </w:p>
    <w:p>
      <w:r>
        <w:t xml:space="preserve">landwirtschaftlichen Erzeugnisse und Lebensmittel (ABl. EG Nr. L 198 S. 1), die</w:t>
      </w:r>
    </w:p>
    <w:p>
      <w:r>
        <w:t xml:space="preserve">zuletzt durch Verordnung (EG) Nr. 2254/2004 der Kommission vom 27. Dezember</w:t>
      </w:r>
    </w:p>
    <w:p>
      <w:r>
        <w:t xml:space="preserve">2004 (ABl. EG Nr. L 385 S. 20) geändert worden ist, in der jeweils</w:t>
      </w:r>
    </w:p>
    <w:p>
      <w:r>
        <w:t xml:space="preserve">geltenden Fassung, soweit die Kontrollstellen gegenüber den</w:t>
      </w:r>
    </w:p>
    <w:p>
      <w:r>
        <w:t xml:space="preserve">landwirtschaftlichen Betrieben des ökologischen Landbaus tätig</w:t>
      </w:r>
    </w:p>
    <w:p>
      <w:r>
        <w:t xml:space="preserve">werden,</w:t>
      </w:r>
    </w:p>
    <w:p>
      <w:r>
        <w:t xml:space="preserve">die Aufgaben der zuständigen Behörde und Kontrollbehörde</w:t>
      </w:r>
    </w:p>
    <w:p>
      <w:r>
        <w:t xml:space="preserve">gemäß Anhang I Teil A Nr. 1.2, Anhang I Teil B Nr. 3.4 bis 3.7 sowie</w:t>
      </w:r>
    </w:p>
    <w:p>
      <w:r>
        <w:t xml:space="preserve">Nr. 4.9 und gemäß Anhang II Teil D Nr. 1.2 der Verordnung (EWG) Nr.</w:t>
      </w:r>
    </w:p>
    <w:p>
      <w:r>
        <w:t xml:space="preserve">2092/91,</w:t>
      </w:r>
    </w:p>
    <w:p>
      <w:r>
        <w:t xml:space="preserve">die Erteilung einer Genehmigung gemäß Artikel 5 der Verordnung</w:t>
      </w:r>
    </w:p>
    <w:p>
      <w:r>
        <w:t xml:space="preserve">(EG) Nr. 1452/2003 der Kommission vom 14. August 2003 (ABl. EG Nr. L 206 S. 17)</w:t>
      </w:r>
    </w:p>
    <w:p>
      <w:r>
        <w:t xml:space="preserve">in der jeweils geltenden Fassung,</w:t>
      </w:r>
    </w:p>
    <w:p>
      <w:r>
        <w:t xml:space="preserve">die Aufgaben der zuständigen Behörde gemäß § 4</w:t>
      </w:r>
    </w:p>
    <w:p>
      <w:r>
        <w:t xml:space="preserve">Abs. 2, §§ 5, 10 Abs. 2 und in züchterischer Hinsicht</w:t>
      </w:r>
    </w:p>
    <w:p>
      <w:r>
        <w:t xml:space="preserve">gemäß § 19 des Tierzuchtgesetzes in der Fassung der</w:t>
      </w:r>
    </w:p>
    <w:p>
      <w:r>
        <w:t xml:space="preserve">Bekanntmachung vom 22. Januar 1998 (BGBl. I S. 145),</w:t>
      </w:r>
    </w:p>
    <w:p>
      <w:r>
        <w:t xml:space="preserve">die Aufgaben der zuständigen Behörde nach der Verordnung</w:t>
      </w:r>
    </w:p>
    <w:p>
      <w:r>
        <w:t xml:space="preserve">über Lehrgänge nach dem Tierzuchtgesetz vom 15. Oktober 1992 (BGBl. I</w:t>
      </w:r>
    </w:p>
    <w:p>
      <w:r>
        <w:t xml:space="preserve">S. 1776).</w:t>
      </w:r>
    </w:p>
    <w:p>
      <w:r>
        <w:rPr>
          <w:color w:val="555555"/>
          <w:sz w:val="17"/>
        </w:rPr>
        <w:t xml:space="preserve">Zitiervorschlag: § 1 VO-ID211872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