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VO-ID211868 (Brandenburg) — Schutzbestimmungen</w:t>
      </w:r>
    </w:p>
    <w:p>
      <w:r>
        <w:rPr>
          <w:color w:val="555555"/>
          <w:sz w:val="18"/>
        </w:rPr>
        <w:t xml:space="preserve">Verordnung zur Festsetzung des Wasserschutzgebietes Tettau</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Schutzbestimmungen für die Zone III B gelten auch für die Zone III A, die Zone II und die Zone I. Die Schutzbestimmungen für die Zone III A gelten auch für die Zone II und die Zone I. Die Schutzbestimmungen für die Zone II gelten auch für die Zone I. Die allgemeinen Vorschriften zum Schutz der Gewässer bleiben unberührt.</w:t>
      </w:r>
    </w:p>
    <w:p>
      <w:r>
        <w:rPr>
          <w:color w:val="555555"/>
          <w:sz w:val="17"/>
        </w:rPr>
        <w:t xml:space="preserve">Zitiervorschlag: § 3 VO-ID211868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https://recht.nulegal.eu/gesetze/VO-ID211868/3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