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VO-ID211868 (Brandenburg) — In-Kraft-Treten, Außer-Kraft-Treten</w:t>
      </w:r>
    </w:p>
    <w:p>
      <w:r>
        <w:rPr>
          <w:color w:val="555555"/>
          <w:sz w:val="18"/>
        </w:rPr>
        <w:t xml:space="preserve">Verordnung zur Festsetzung des Wasserschutzgebietes Tettau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 Gleichzeitig wird das mit Beschluss vom 19. September 1984 des Bezirkstages Cottbus festgesetzte Trinkwasserschutzgebiet für das Wasserwerk Tettau aufgehoben.</w:t>
      </w:r>
    </w:p>
    <w:p>
      <w:r>
        <w:t xml:space="preserve">Potsdam, den 10. Mai 2005</w:t>
      </w:r>
    </w:p>
    <w:p>
      <w:r>
        <w:t xml:space="preserve">Der Minister für Ländliche Entwicklung, Umwelt und Verbraucherschutz</w:t>
      </w:r>
    </w:p>
    <w:p>
      <w:r>
        <w:t xml:space="preserve">Dr. Dietmar Woidke</w:t>
      </w:r>
    </w:p>
    <w:p>
      <w:r>
        <w:rPr>
          <w:color w:val="555555"/>
          <w:sz w:val="17"/>
        </w:rPr>
        <w:t xml:space="preserve">Zitiervorschlag: § 14 VO-ID211868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https://recht.nulegal.eu/gesetze/VO-ID211868/14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