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VO-ID211867 (Brandenburg) — Schutz der Zone I</w:t>
      </w:r>
    </w:p>
    <w:p>
      <w:r>
        <w:rPr>
          <w:color w:val="555555"/>
          <w:sz w:val="18"/>
        </w:rPr>
        <w:t xml:space="preserve">Verordnung zur Festsetzung des Wasserschutzgebietes Seelow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In der Zone I sind verboten:</w:t>
      </w:r>
    </w:p>
    <w:p>
      <w:r>
        <w:t xml:space="preserve">das Betreten oder Befahren,</w:t>
      </w:r>
    </w:p>
    <w:p>
      <w:r>
        <w:t xml:space="preserve">land-, forst- oder gartenbauliche Nutzung,</w:t>
      </w:r>
    </w:p>
    <w:p>
      <w:r>
        <w:t xml:space="preserve">Veränderungen und Aufschlüsse der Erdoberfläche.</w:t>
      </w:r>
    </w:p>
    <w:p>
      <w:r>
        <w:rPr>
          <w:color w:val="555555"/>
          <w:sz w:val="17"/>
        </w:rPr>
        <w:t xml:space="preserve">Zitiervorschlag: § 6 VO-ID211867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https://recht.nulegal.eu/gesetze/VO-ID211867/6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