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VO-ID211865 (Brandenburg)</w:t>
      </w:r>
    </w:p>
    <w:p>
      <w:r>
        <w:rPr>
          <w:color w:val="555555"/>
          <w:sz w:val="18"/>
        </w:rPr>
        <w:t xml:space="preserve">Dritte Verordnung über die Aufhebung von Wasserschutzgebieten im Landkreis Potsdam-Mittelmark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Tage nach der Verkündung in Kraft.</w:t>
      </w:r>
    </w:p>
    <w:p>
      <w:r>
        <w:t xml:space="preserve">Potsdam, den 1. September 2004</w:t>
      </w:r>
    </w:p>
    <w:p>
      <w:r>
        <w:t xml:space="preserve">Der Minister für Landwirtschaft,</w:t>
      </w:r>
    </w:p>
    <w:p>
      <w:r>
        <w:t xml:space="preserve">Umweltschutz und Raumordnung</w:t>
      </w:r>
    </w:p>
    <w:p>
      <w:r>
        <w:t xml:space="preserve">Wolfgang Birthler</w:t>
      </w:r>
    </w:p>
    <w:p>
      <w:r>
        <w:rPr>
          <w:color w:val="555555"/>
          <w:sz w:val="17"/>
        </w:rPr>
        <w:t xml:space="preserve">Zitiervorschlag: § 2 VO-ID211865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https://recht.nulegal.eu/gesetze/VO-ID211865/2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