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VO-ID211858 (Brandenburg) — Sicherung und Kennzeichnung des Wasserschutzgebietes</w:t>
      </w:r>
    </w:p>
    <w:p>
      <w:r>
        <w:rPr>
          <w:color w:val="555555"/>
          <w:sz w:val="18"/>
        </w:rPr>
        <w:t xml:space="preserve">Verordnung zur Festsetzung des Wasserschutzgebietes für das Wasserwerk Potsdam-Nedlitz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Zone I ist vom Begünstigten auf Anordnung der unteren Wasserbehörde gegen unbefugtes Betreten,</w:t>
      </w:r>
    </w:p>
    <w:p>
      <w:r>
        <w:t xml:space="preserve">z. B. durch eine Umzäunung, zu sichern.</w:t>
      </w:r>
    </w:p>
    <w:p>
      <w:r>
        <w:t xml:space="preserve">(2) Das Wasserschutzgebiet ist vom Begünstigten auf Anordnung der unteren Wasserbehörde durch eine entsprechende Beschilderung ausreichend zu kennzeichnen.</w:t>
      </w:r>
    </w:p>
    <w:p>
      <w:r>
        <w:t xml:space="preserve">(3) Die untere Wasserbehörde kann anordnen, dass der Begünstigte das Aufstellen der Verbotszeichen 269 oder Richtzeichen 354 der Straßenverkehrs-Ordnung an den dafür in Betracht kommenden Straßen und Wegen bei der zuständigen Straßenverkehrsbehörde zu beantragen hat.</w:t>
      </w:r>
    </w:p>
    <w:p>
      <w:r>
        <w:rPr>
          <w:color w:val="555555"/>
          <w:sz w:val="17"/>
        </w:rPr>
        <w:t xml:space="preserve">Zitiervorschlag: § 9 VO-ID211858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https://recht.nulegal.eu/gesetze/VO-ID211858/9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