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VO-ID211856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Wittenberge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Grenzen der Zonen I, II, III A und III B sind in der Anlage 1 zu dieser Verordnung beschrieben.</w:t>
      </w:r>
    </w:p>
    <w:p>
      <w:r>
        <w:t xml:space="preserve">(2) Die Grenzen des Wasserschutzgebietes und der einzelnen Zonen sind in der Übersichtskarte in der Anlage 2 zu dieser Verordnung dargestellt. Für die genaue Grenzziehung sind die Karten maßgebend, die gemäß § 15 Abs. 2 des Brandenburgischen Wassergesetzes bei der unteren Wasserbehörde des Landkreises Prignitz, der Stadt Wittenberge und dem Amt Bad Wilsnack/Weisen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rPr>
          <w:color w:val="555555"/>
          <w:sz w:val="17"/>
        </w:rPr>
        <w:t xml:space="preserve">Zitiervorschlag: § 2 VO-ID211856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