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VO-ID211856 (Brandenburg) — Entschädigung und Ausgleich</w:t>
      </w:r>
    </w:p>
    <w:p>
      <w:r>
        <w:rPr>
          <w:color w:val="555555"/>
          <w:sz w:val="18"/>
        </w:rPr>
        <w:t xml:space="preserve">Verordnung zur Festsetzung des Wasserschutzgebietes Wittenberge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Entschädigung und Ausgleich sind nach Maßgabe des §16 Abs. 2, 3 und 4 des Brandenburgischen Wassergesetzes zu leisten.</w:t>
      </w:r>
    </w:p>
    <w:p>
      <w:r>
        <w:rPr>
          <w:color w:val="555555"/>
          <w:sz w:val="17"/>
        </w:rPr>
        <w:t xml:space="preserve">Zitiervorschlag: § 12 VO-ID211856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https://recht.nulegal.eu/gesetze/VO-ID211856/12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VO-ID211856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