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VO-ID211855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für das Wasserwerk Pohlitz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Grenzen der Zonen I, II, III A und III B beider Fassungen sind in der Anlage 1 zu dieser Verordnung beschrieben.</w:t>
      </w:r>
    </w:p>
    <w:p>
      <w:r>
        <w:t xml:space="preserve">(2) Die Grenzen des Wasserschutzgebietes sind in der Übersichtskarte in der Anlage 2 zu dieser Verordnung dargestellt. Für die genauen Grenzen des Wasserschutzgebietes und der einzelnen Zonen der Fassungen sind die Karten maßgebend, die gemäß § 15 Abs. 2 des Brandenburgischen Wassergesetzes bei der unteren Wasserbehörde des Landkreises Oder-Spree, 15848 Beeskow, Rathenaustraße 13, im Amt „Schlaubetal“, 15299 Müllrose, Bahnhofstraße 40, im Amt Brieskow-Finkenheerd, 15295 Brieskow-Finkenheerd, August-Bebel-Str. 18a und in der Stadtverwaltung Eisenhüttenstadt, 15890 Eisenhüttenstadt, Zentraler Platz 1,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rPr>
          <w:color w:val="555555"/>
          <w:sz w:val="17"/>
        </w:rPr>
        <w:t xml:space="preserve">Zitiervorschlag: § 2 VO-ID211855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