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VO-ID211855 (Brandenburg) — In-Kraft-Treten, Außer-Kraft-Treten</w:t>
      </w:r>
    </w:p>
    <w:p>
      <w:r>
        <w:rPr>
          <w:color w:val="555555"/>
          <w:sz w:val="18"/>
        </w:rPr>
        <w:t xml:space="preserve">Verordnung zur Festsetzung des Wasserschutzgebietes für das Wasserwerk Pohlitz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 Gleichzeitig werden die mit Beschluss Nr. 49-17/82 vom 24. Februar 1982 des Kreistages Eisenhüttenstadt (Land) und Beschluss Nr. 143/XXVI/83 vom 7. September 1983 der Stadtverordnetenversammlung Eisenhüttenstadt festgesetzten Wasserschutzgebiete für die Brunnengalerien Pohlitz und Rautenkranz des Wasserwerkes Pohlitz aufgehoben.</w:t>
      </w:r>
    </w:p>
    <w:p>
      <w:r>
        <w:t xml:space="preserve">Potsdam, den 5. Januar 2004</w:t>
      </w:r>
    </w:p>
    <w:p>
      <w:r>
        <w:t xml:space="preserve">Der Minister für Landwirtschaft, Umweltschutz und Raumordnung</w:t>
      </w:r>
    </w:p>
    <w:p>
      <w:r>
        <w:t xml:space="preserve">Wolfgang Birthler</w:t>
      </w:r>
    </w:p>
    <w:p>
      <w:r>
        <w:t xml:space="preserve">Anm.: Die Anlagen wurden nicht aufgenommen.</w:t>
      </w:r>
    </w:p>
    <w:p>
      <w:r>
        <w:rPr>
          <w:color w:val="555555"/>
          <w:sz w:val="17"/>
        </w:rPr>
        <w:t xml:space="preserve">Zitiervorschlag: § 14 VO-ID211855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https://recht.nulegal.eu/gesetze/VO-ID211855/14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