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VO-ID211854 (Brandenburg) — Duldungspflichten</w:t>
      </w:r>
    </w:p>
    <w:p>
      <w:r>
        <w:rPr>
          <w:color w:val="555555"/>
          <w:sz w:val="18"/>
        </w:rPr>
        <w:t xml:space="preserve">Verordnung zur Festsetzung des Wasserschutzgebietes für das Wasserwerk Mahlenzien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und Nutzungsberechtigten von Grundstücken im Wasserschutzgebiet haben die Überwachung des Wasserschutzgebietes, insbesondere hinsichtlich der Befolgung der Vorschriften dieser Verordnung und der nach ihr getroffenen Anordnungen, sowie das Beobachten der Gewässer und des Bodens durch die zuständigen Wasserbehörden oder deren Beauftragte zu dulden.</w:t>
      </w:r>
    </w:p>
    <w:p>
      <w:r>
        <w:t xml:space="preserve">(2) Die Eigentümer und Nutzungsberechtigten von Grundstücken innerhalb des Schutzgebietes haben die Beseitigung oder Änderung von Einrichtungen, die im Zeitpunkt des In-Kraft-Tretens dieser Verordnung bestehen und deren Bestand, Errichtung, Erweiterung oder Betrieb unter die Verbote der §§ 3, 4, 5, 6 und 7 fallen, auf Anordnung der unteren Wasserbehörde gegen Entschädigung zu dulden, sofern sie nicht schon nach anderen Vorschriften verpflichtet sind, die Einrichtung zu beseitigen oder zu ändern.</w:t>
      </w:r>
    </w:p>
    <w:p>
      <w:r>
        <w:t xml:space="preserve">(3) Die Eigentümer und Nutzungsberechtigten von Grundstücken im Wasserschutzgebiet sind darüber hinaus auf Anordnung der unteren Wasserbehörde verpflichtet:</w:t>
      </w:r>
    </w:p>
    <w:p>
      <w:r>
        <w:t xml:space="preserve">das Errichten, Betreiben und Unterhalten von Einrichtungen zur Sicherung der Zone I gegen unbefugtes Betreten,</w:t>
      </w:r>
    </w:p>
    <w:p>
      <w:r>
        <w:t xml:space="preserve">das Aufstellen, das Unterhalten oder das Beseitigen von Hinweis-, Warn-, Gebots- und Verbotszeichen,</w:t>
      </w:r>
    </w:p>
    <w:p>
      <w:r>
        <w:t xml:space="preserve">das Betreten der Grundstücke durch Bedienstete der zuständigen Behörden zum Beobachten, Messen und Untersuchen des Grundwassers und zur Entnahme von Boden- und Vegetationsproben sowie</w:t>
      </w:r>
    </w:p>
    <w:p>
      <w:r>
        <w:t xml:space="preserve">das Anlegen und Betreiben von Grundwassermessstellen</w:t>
      </w:r>
    </w:p>
    <w:p>
      <w:r>
        <w:t xml:space="preserve">zu dulden.</w:t>
      </w:r>
    </w:p>
    <w:p>
      <w:r>
        <w:t xml:space="preserve">(4) Die Eigentümer und Nutzungsberechtigten landwirtschaftlich, forstwirtschaftlich oder gärtnerisch genutzter Flächen haben der unteren Wasserbehörde auf deren Anordnung hin die Einsichtnahme in die Aufzeichnungen gemäß § 4 Nr. 10 über die Anwendung von Pflanzenschutzmitteln und in Aufzeichnungen über den Einsatz von organischen und mineralischen Düngemitteln zu ermöglichen.</w:t>
      </w:r>
    </w:p>
    <w:p>
      <w:r>
        <w:t xml:space="preserve">(5) Die Anordnung gemäß den Absätzen 2, 3 und 4 erfolgt durch schriftlichen oder elektronischen Bescheid gegenüber den betroffenen Eigentümern oder Nutzungsberechtigten. Soweit bergrechtliche Belange berührt sind, ergeht die Entscheidung im Benehmen mit dem Landesbergamt.</w:t>
      </w:r>
    </w:p>
    <w:p>
      <w:r>
        <w:rPr>
          <w:color w:val="555555"/>
          <w:sz w:val="17"/>
        </w:rPr>
        <w:t xml:space="preserve">Zitiervorschlag: § 11 VO-ID211854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https://recht.nulegal.eu/gesetze/VO-ID211854/11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