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VO-ID211853 (Brandenburg) — Handlungen im Rahmen der Wassergewinnung</w:t>
      </w:r>
    </w:p>
    <w:p>
      <w:r>
        <w:rPr>
          <w:color w:val="555555"/>
          <w:sz w:val="18"/>
        </w:rPr>
        <w:t xml:space="preserve">Verordnung zur Festsetzung des Wasserschutzgebietes Kleinmachnow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Verbote des § 4 Nr. 5 und 18, des § 5 Nr. 3, 13, 14, 19, 21 und 22 sowie des § 6 Nr. 1 und 3 gelten nicht für Handlungen zur öffentlichen Wasserversorgung, die durch diese Verordnung geschützt ist.</w:t>
      </w:r>
    </w:p>
    <w:p>
      <w:r>
        <w:rPr>
          <w:color w:val="555555"/>
          <w:sz w:val="17"/>
        </w:rPr>
        <w:t xml:space="preserve">Zitiervorschlag: § 7 VO-ID211853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https://recht.nulegal.eu/gesetze/VO-ID211853/7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