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VO-ID211852 (Brandenburg) — Handlungen im Rahmen der Wassergewinnung</w:t>
      </w:r>
    </w:p>
    <w:p>
      <w:r>
        <w:rPr>
          <w:color w:val="555555"/>
          <w:sz w:val="18"/>
        </w:rPr>
        <w:t xml:space="preserve">Verordnung zur Festsetzung des Wasserschutzgebietes Ludwigsfelde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5 Nr. 3 und des § 6 Nr. 15, 16, 20 und 21 sowie des § 7 Nr. 1 und 3 gelten nicht für Handlungen zur öffentlichen Wasserversorgung, die durch diese Verordnung geschützt ist.</w:t>
      </w:r>
    </w:p>
    <w:p>
      <w:r>
        <w:rPr>
          <w:color w:val="555555"/>
          <w:sz w:val="17"/>
        </w:rPr>
        <w:t xml:space="preserve">Zitiervorschlag: § 8 VO-ID211852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https://recht.nulegal.eu/gesetze/VO-ID211852/8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