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VO-ID211852 (Brandenburg) — Duldungspflichten</w:t>
      </w:r>
    </w:p>
    <w:p>
      <w:r>
        <w:rPr>
          <w:color w:val="555555"/>
          <w:sz w:val="18"/>
        </w:rPr>
        <w:t xml:space="preserve">Verordnung zur Festsetzung des Wasserschutzgebietes Ludwigsfelde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und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innerhalb des Schutzgebietes haben die Beseitigung oder Änderung von Einrichtungen, die im Zeitpunkt des In-Kraft-Tretens dieser Verordnung bestehen und deren Bestand, Errichtung, Erweiterung oder Betrieb unter die Verbote der §§ 3, 4, 5, 6 und 7 fallen, auf Anordnung der unteren Wasserbehörde gegen Entschädigung zu dulden, sofern sie nicht schon nach anderen Vorschriften verpflichtet sind, die Einrichtung zu beseitigen oder zu ändern.</w:t>
      </w:r>
    </w:p>
    <w:p>
      <w:r>
        <w:t xml:space="preserve">(3) Die Eigentümer oder Nutzungsberechtigten von Grundstücken im Wasserschutzgebiet sind darüber hinaus auf Anordnung der unteren Wasserbehörde verpflichtet:</w:t>
      </w:r>
    </w:p>
    <w:p>
      <w:r>
        <w:t xml:space="preserve">das Errichten, Betreiben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 zu dulden.</w:t>
      </w:r>
    </w:p>
    <w:p>
      <w:r>
        <w:t xml:space="preserve">(4) Die Anordnung gemäß den Absätzen 2 und 3 erfolgt durch schriftlichen oder elektronischen Bescheid gegenüber den betroffenen Eigentümern oder Nutzungsberechtigten. Soweit bergrechtliche Belange berührt sind, ergeht die Entscheidung im Benehmen mit dem zuständigen Bergamt.</w:t>
      </w:r>
    </w:p>
    <w:p>
      <w:r>
        <w:rPr>
          <w:color w:val="555555"/>
          <w:sz w:val="17"/>
        </w:rPr>
        <w:t xml:space="preserve">Zitiervorschlag: § 11 VO-ID211852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https://recht.nulegal.eu/gesetze/VO-ID211852/11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VO-ID211852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