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VO-ID211851 (Brandenburg)</w:t>
      </w:r>
    </w:p>
    <w:p>
      <w:r>
        <w:rPr>
          <w:color w:val="555555"/>
          <w:sz w:val="18"/>
        </w:rPr>
        <w:t xml:space="preserve">Vierte Verordnung über die Aufhebung von Wasserschutzgebieten im Landkreis Prignitz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auf der Grundlage des Landeskulturgesetzes vom 14. Mai 1970 (GBl. I Nr. 12 S. 67), des Wasser-gesetzes vom 17. April 1963 (GBl. I Nr. 5 S. 77) und der Verordnung über die Festlegung von Schutzgebieten für die Wasserentnahme aus dem Grund- und Oberflächenwasser zur Trinkwassergewinnung vom 11. Juli 1974 (GBl. I Nr. 37 S. 349) mit Beschluss Nr. 125-26/78 vom 27. November 1978 des Kreistages Perleberg festgesetzte Wasserschutzgebiet Retzin wird hiermit aufgehoben.</w:t>
      </w:r>
    </w:p>
    <w:p>
      <w:r>
        <w:t xml:space="preserve">(2) Folgende, auf der Grundlage des Wassergesetzes vom 2. Juli 1982 (GBl. I Nr. 26 S. 467) und der Dritten Durchführungsverordnung zum Wassergesetz - Schutzgebiete und Vorbehaltsgebiete - vom 2. Juli 1982 (GBl. I Nr. 26 S. 487) festgesetzte Wasserschutzgebiete werden hiermit aufgehoben:</w:t>
      </w:r>
    </w:p>
    <w:p>
      <w:r>
        <w:t xml:space="preserve">das mit Beschluss Nr. 0034-7./85 vom 18. April 1985 des Kreistages Pritzwalk festgesetzte Wasserschutzgebiet für das Wasserwerk Penzlin,</w:t>
      </w:r>
    </w:p>
    <w:p>
      <w:r>
        <w:t xml:space="preserve">die mit Beschluss Nr. 71-14/87 vom 25. März 1987 des Kreistages Ludwigslust festgesetzten Wasserschutzgebiete für die Wasserwerke Gandow, Lanz I und Lanz II.</w:t>
      </w:r>
    </w:p>
    <w:p>
      <w:r>
        <w:rPr>
          <w:color w:val="555555"/>
          <w:sz w:val="17"/>
        </w:rPr>
        <w:t xml:space="preserve">Zitiervorschlag: § 1 VO-ID211851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https://recht.nulegal.eu/gesetze/VO-ID211851/1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VO-ID211851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