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VO-ID211846 (Brandenburg)</w:t>
      </w:r>
    </w:p>
    <w:p>
      <w:r>
        <w:rPr>
          <w:color w:val="555555"/>
          <w:sz w:val="18"/>
        </w:rPr>
        <w:t xml:space="preserve">Verordnung über die Aufhebung des Wasserschutzgebietes Leegebruch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Tage nach</w:t>
      </w:r>
    </w:p>
    <w:p>
      <w:r>
        <w:t xml:space="preserve">der Verkündung in Kraft.</w:t>
      </w:r>
    </w:p>
    <w:p>
      <w:r>
        <w:t xml:space="preserve">Potsdam,</w:t>
      </w:r>
    </w:p>
    <w:p>
      <w:r>
        <w:t xml:space="preserve">den 1. Oktober 2002</w:t>
      </w:r>
    </w:p>
    <w:p>
      <w:r>
        <w:rPr>
          <w:color w:val="555555"/>
          <w:sz w:val="17"/>
        </w:rPr>
        <w:t xml:space="preserve">Zitiervorschlag: § 2 VO-ID211846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