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VO-ID211841 (Brandenburg)</w:t>
      </w:r>
    </w:p>
    <w:p>
      <w:r>
        <w:rPr>
          <w:color w:val="555555"/>
          <w:sz w:val="18"/>
        </w:rPr>
        <w:t xml:space="preserve">Zweite Verordnung zur Aufhebung von Baubeschränkungsgebieten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</w:t>
      </w:r>
    </w:p>
    <w:p>
      <w:r>
        <w:t xml:space="preserve">Kraft.</w:t>
      </w:r>
    </w:p>
    <w:p>
      <w:r>
        <w:t xml:space="preserve">Anm.: Anlage 1 (Kartenskizze) nicht aufgenommen</w:t>
      </w:r>
    </w:p>
    <w:p>
      <w:r>
        <w:t xml:space="preserve">(GVBl.II/94 Nr. 50 S. 648).</w:t>
      </w:r>
    </w:p>
    <w:p>
      <w:r>
        <w:rPr>
          <w:color w:val="555555"/>
          <w:sz w:val="17"/>
        </w:rPr>
        <w:t xml:space="preserve">Zitiervorschlag: § 3 VO-ID211841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https://recht.nulegal.eu/gesetze/VO-ID211841/3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