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VO-ID211841 (Brandenburg)</w:t>
      </w:r>
    </w:p>
    <w:p>
      <w:r>
        <w:rPr>
          <w:color w:val="555555"/>
          <w:sz w:val="18"/>
        </w:rPr>
        <w:t xml:space="preserve">Zweite Verordnung zur Aufhebung von Baubeschränkungsgebieten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das in der Anlage 1 zu dieser Verordnung näher</w:t>
      </w:r>
    </w:p>
    <w:p>
      <w:r>
        <w:t xml:space="preserve">bezeichnete Gebiet mit den Orten und Ortsteilen Steinitz, Rehnsdorf, Papproth,</w:t>
      </w:r>
    </w:p>
    <w:p>
      <w:r>
        <w:t xml:space="preserve">Jehserig und Merkur wird die Baubeschränkung aufgehoben.</w:t>
      </w:r>
    </w:p>
    <w:p>
      <w:r>
        <w:rPr>
          <w:color w:val="555555"/>
          <w:sz w:val="17"/>
        </w:rPr>
        <w:t xml:space="preserve">Zitiervorschlag: § 1 VO-ID211841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https://recht.nulegal.eu/gesetze/VO-ID211841/1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