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VO-ID211840 (Brandenburg)</w:t>
      </w:r>
    </w:p>
    <w:p>
      <w:r>
        <w:rPr>
          <w:color w:val="555555"/>
          <w:sz w:val="18"/>
        </w:rPr>
        <w:t xml:space="preserve">Erste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Karten und Pläne, die Bestandteil des Antrages auf</w:t>
      </w:r>
    </w:p>
    <w:p>
      <w:r>
        <w:t xml:space="preserve">teilweise Aufhebung der Baubeschränkungsgebiete Klettwitz-Nord sowie</w:t>
      </w:r>
    </w:p>
    <w:p>
      <w:r>
        <w:t xml:space="preserve">Seese-Ost/Calau-Nord sind, werden gemäß § 107 Abs. 2 des</w:t>
      </w:r>
    </w:p>
    <w:p>
      <w:r>
        <w:t xml:space="preserve">Bundesberggesetzes zu jedermanns Einsicht archivgemäß gesichert beim</w:t>
      </w:r>
    </w:p>
    <w:p>
      <w:r>
        <w:t xml:space="preserve">Oberbergamt des Landes Brandenburg niedergelegt.</w:t>
      </w:r>
    </w:p>
    <w:p>
      <w:r>
        <w:rPr>
          <w:color w:val="555555"/>
          <w:sz w:val="17"/>
        </w:rPr>
        <w:t xml:space="preserve">Zitiervorschlag: § 3 VO-ID211840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