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VO-ID211840 (Brandenburg)</w:t>
      </w:r>
    </w:p>
    <w:p>
      <w:r>
        <w:rPr>
          <w:color w:val="555555"/>
          <w:sz w:val="18"/>
        </w:rPr>
        <w:t xml:space="preserve">Erste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das in der Anlage 2 zu dieser Verordnung näher</w:t>
      </w:r>
    </w:p>
    <w:p>
      <w:r>
        <w:t xml:space="preserve">bezeichnete Gebiet mit den Orten Belten, Koßwig, Kalkwitz, Reuden und</w:t>
      </w:r>
    </w:p>
    <w:p>
      <w:r>
        <w:t xml:space="preserve">Saßleben wird die Baubeschränkung aufgehoben.</w:t>
      </w:r>
    </w:p>
    <w:p>
      <w:r>
        <w:rPr>
          <w:color w:val="555555"/>
          <w:sz w:val="17"/>
        </w:rPr>
        <w:t xml:space="preserve">Zitiervorschlag: § 2 VO-ID211840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